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bookmarkStart w:id="18" w:name="_GoBack"/>
    </w:p>
    <w:p>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w w:val="66"/>
          <w:sz w:val="60"/>
          <w:szCs w:val="60"/>
          <w:highlight w:val="none"/>
          <w14:textFill>
            <w14:solidFill>
              <w14:schemeClr w14:val="tx1"/>
            </w14:solidFill>
          </w14:textFill>
        </w:rPr>
        <w:t xml:space="preserve"> </w:t>
      </w:r>
      <w:r>
        <w:rPr>
          <w:rFonts w:hint="eastAsia" w:eastAsia="黑体"/>
          <w:b/>
          <w:color w:val="000000" w:themeColor="text1"/>
          <w:spacing w:val="40"/>
          <w:w w:val="66"/>
          <w:sz w:val="60"/>
          <w:szCs w:val="60"/>
          <w:highlight w:val="none"/>
          <w14:textFill>
            <w14:solidFill>
              <w14:schemeClr w14:val="tx1"/>
            </w14:solidFill>
          </w14:textFill>
        </w:rPr>
        <w:t>天津市生态环境科学研究院工业园区绿色低碳智能化分析及管理平台建设项目</w:t>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207010</wp:posOffset>
                </wp:positionH>
                <wp:positionV relativeFrom="paragraph">
                  <wp:posOffset>316865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6.3pt;margin-top:24.95pt;height:0pt;width:150.75pt;z-index:251659264;mso-width-relative:page;mso-height-relative:page;" filled="f" stroked="t" coordsize="21600,21600" o:gfxdata="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gl8HX&#10;AAAACAEAAA8AAAAAAAAAAQAgAAAAIgAAAGRycy9kb3ducmV2LnhtbFBLAQIUABQAAAAIAIdO4kDA&#10;tiJo6AEAAKwDAAAOAAAAAAAAAAEAIAAAACY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pPr>
        <w:ind w:right="1025"/>
        <w:jc w:val="center"/>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TGPC-2024-D-0530</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7</w:t>
      </w:r>
      <w:r>
        <w:rPr>
          <w:rFonts w:eastAsia="仿宋_GB2312"/>
          <w:b/>
          <w:bCs/>
          <w:color w:val="000000" w:themeColor="text1"/>
          <w:kern w:val="0"/>
          <w:sz w:val="44"/>
          <w:szCs w:val="44"/>
          <w:highlight w:val="none"/>
          <w14:textFill>
            <w14:solidFill>
              <w14:schemeClr w14:val="tx1"/>
            </w14:solidFill>
          </w14:textFill>
        </w:rPr>
        <w:t xml:space="preserve"> </w:t>
      </w:r>
    </w:p>
    <w:p>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pgSz w:w="11906" w:h="16838"/>
          <w:pgMar w:top="1440" w:right="1797" w:bottom="1440" w:left="1797" w:header="851" w:footer="992" w:gutter="0"/>
          <w:cols w:space="720" w:num="1"/>
          <w:docGrid w:type="linesAndChars" w:linePitch="285" w:charSpace="-3449"/>
        </w:sectPr>
      </w:pPr>
    </w:p>
    <w:p>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第一部分  磋商邀请函</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第二部分  磋商项目要求</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第三部分  供应商须知</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第四部分  合同草案</w:t>
      </w:r>
    </w:p>
    <w:p>
      <w:pPr>
        <w:rPr>
          <w:color w:val="000000" w:themeColor="text1"/>
          <w:highlight w:val="none"/>
          <w14:textFill>
            <w14:solidFill>
              <w14:schemeClr w14:val="tx1"/>
            </w14:solidFill>
          </w14:textFill>
        </w:rPr>
      </w:pPr>
    </w:p>
    <w:p>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第五部分  响应文件格式</w:t>
      </w:r>
    </w:p>
    <w:p>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p>
    <w:p>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pgSz w:w="11906" w:h="16838"/>
          <w:pgMar w:top="1440" w:right="1797" w:bottom="1440" w:left="1797" w:header="851" w:footer="992" w:gutter="0"/>
          <w:cols w:space="720" w:num="1"/>
          <w:docGrid w:type="linesAndChars" w:linePitch="285" w:charSpace="-3449"/>
        </w:sectPr>
      </w:pPr>
    </w:p>
    <w:p>
      <w:pPr>
        <w:pStyle w:val="12"/>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eastAsia="宋体" w:cs="Times New Roman"/>
          <w:color w:val="000000" w:themeColor="text1"/>
          <w:kern w:val="2"/>
          <w:highlight w:val="none"/>
          <w14:textFill>
            <w14:solidFill>
              <w14:schemeClr w14:val="tx1"/>
            </w14:solidFill>
          </w14:textFill>
        </w:rPr>
        <w:t>天津市生态环境科学研究院</w:t>
      </w:r>
      <w:r>
        <w:rPr>
          <w:rFonts w:ascii="Times New Roman" w:hAnsi="Times New Roman" w:eastAsia="宋体" w:cs="Times New Roman"/>
          <w:color w:val="000000" w:themeColor="text1"/>
          <w:kern w:val="2"/>
          <w:highlight w:val="none"/>
          <w14:textFill>
            <w14:solidFill>
              <w14:schemeClr w14:val="tx1"/>
            </w14:solidFill>
          </w14:textFill>
        </w:rPr>
        <w:t>委托，</w:t>
      </w:r>
      <w:r>
        <w:rPr>
          <w:rFonts w:hint="eastAsia" w:ascii="Times New Roman" w:hAnsi="Times New Roman" w:eastAsia="宋体" w:cs="Times New Roman"/>
          <w:color w:val="000000" w:themeColor="text1"/>
          <w:kern w:val="2"/>
          <w:highlight w:val="none"/>
          <w14:textFill>
            <w14:solidFill>
              <w14:schemeClr w14:val="tx1"/>
            </w14:solidFill>
          </w14:textFill>
        </w:rPr>
        <w:t>天津市政府采购中心</w:t>
      </w:r>
      <w:r>
        <w:rPr>
          <w:rFonts w:ascii="Times New Roman" w:hAnsi="Times New Roman" w:eastAsia="宋体" w:cs="Times New Roman"/>
          <w:color w:val="000000" w:themeColor="text1"/>
          <w:kern w:val="2"/>
          <w:highlight w:val="none"/>
          <w14:textFill>
            <w14:solidFill>
              <w14:schemeClr w14:val="tx1"/>
            </w14:solidFill>
          </w14:textFill>
        </w:rPr>
        <w:t>将以竞争性磋商方式</w:t>
      </w:r>
      <w:r>
        <w:rPr>
          <w:rFonts w:hint="eastAsia" w:ascii="Times New Roman" w:hAnsi="Times New Roman" w:eastAsia="宋体" w:cs="Times New Roman"/>
          <w:color w:val="000000" w:themeColor="text1"/>
          <w:kern w:val="2"/>
          <w:highlight w:val="none"/>
          <w14:textFill>
            <w14:solidFill>
              <w14:schemeClr w14:val="tx1"/>
            </w14:solidFill>
          </w14:textFill>
        </w:rPr>
        <w:t>，</w:t>
      </w:r>
      <w:r>
        <w:rPr>
          <w:rFonts w:ascii="Times New Roman" w:hAnsi="Times New Roman" w:eastAsia="宋体" w:cs="Times New Roman"/>
          <w:color w:val="000000" w:themeColor="text1"/>
          <w:kern w:val="2"/>
          <w:highlight w:val="none"/>
          <w14:textFill>
            <w14:solidFill>
              <w14:schemeClr w14:val="tx1"/>
            </w14:solidFill>
          </w14:textFill>
        </w:rPr>
        <w:t>对</w:t>
      </w:r>
      <w:r>
        <w:rPr>
          <w:rFonts w:hint="eastAsia" w:ascii="Times New Roman" w:hAnsi="Times New Roman" w:eastAsia="宋体" w:cs="Times New Roman"/>
          <w:color w:val="000000" w:themeColor="text1"/>
          <w:kern w:val="2"/>
          <w:highlight w:val="none"/>
          <w14:textFill>
            <w14:solidFill>
              <w14:schemeClr w14:val="tx1"/>
            </w14:solidFill>
          </w14:textFill>
        </w:rPr>
        <w:t>天津市生态环境科学研究院工业园区绿色低碳智能化分析及管理平台建设项目</w:t>
      </w:r>
      <w:r>
        <w:rPr>
          <w:rFonts w:ascii="Times New Roman" w:hAnsi="Times New Roman" w:eastAsia="宋体" w:cs="Times New Roman"/>
          <w:color w:val="000000" w:themeColor="text1"/>
          <w:kern w:val="2"/>
          <w:highlight w:val="none"/>
          <w14:textFill>
            <w14:solidFill>
              <w14:schemeClr w14:val="tx1"/>
            </w14:solidFill>
          </w14:textFill>
        </w:rPr>
        <w:t>实施采购。现欢迎合格的供应商参加磋商。</w:t>
      </w:r>
    </w:p>
    <w:p>
      <w:pPr>
        <w:pStyle w:val="35"/>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eastAsia="宋体" w:cs="Times New Roman"/>
          <w:color w:val="000000" w:themeColor="text1"/>
          <w:kern w:val="2"/>
          <w:highlight w:val="none"/>
          <w14:textFill>
            <w14:solidFill>
              <w14:schemeClr w14:val="tx1"/>
            </w14:solidFill>
          </w14:textFill>
        </w:rPr>
        <w:t>天津市生态环境科学研究院工业园区绿色低碳智能化分析及管理平台建设项目</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TGPC-2024-D-0530</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pPr>
        <w:pStyle w:val="35"/>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工业园区绿色低碳智能化分析及管理平台建设，合同履行期限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自合同签订之日起至2025年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月31日</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pPr>
        <w:pStyle w:val="35"/>
        <w:spacing w:line="360" w:lineRule="auto"/>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280000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p>
    <w:p>
      <w:pPr>
        <w:pStyle w:val="35"/>
        <w:spacing w:line="360" w:lineRule="auto"/>
        <w:ind w:firstLine="720" w:firstLineChars="3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四、供应商资格要求（实质性要求）</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2"/>
      <w:bookmarkStart w:id="4" w:name="OLE_LINK1"/>
      <w:bookmarkStart w:id="5" w:name="OLE_LINK4"/>
      <w:bookmarkStart w:id="6" w:name="OLE_LINK3"/>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7" w:name="OLE_LINK5"/>
      <w:r>
        <w:rPr>
          <w:rFonts w:ascii="Times New Roman" w:hAnsi="Times New Roman" w:eastAsia="宋体" w:cs="Times New Roman"/>
          <w:color w:val="000000" w:themeColor="text1"/>
          <w:highlight w:val="none"/>
          <w14:textFill>
            <w14:solidFill>
              <w14:schemeClr w14:val="tx1"/>
            </w14:solidFill>
          </w14:textFill>
        </w:rPr>
        <w:t>2. 财务状况报告等相关材料：</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A.经第三方会计师事务所审计的2022年度</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w:t>
      </w:r>
      <w:r>
        <w:rPr>
          <w:rFonts w:ascii="Times New Roman" w:hAnsi="Times New Roman" w:eastAsia="宋体" w:cs="Times New Roman"/>
          <w:color w:val="000000" w:themeColor="text1"/>
          <w:highlight w:val="none"/>
          <w14:textFill>
            <w14:solidFill>
              <w14:schemeClr w14:val="tx1"/>
            </w14:solidFill>
          </w14:textFill>
        </w:rPr>
        <w:t>财务报告扫描件。</w:t>
      </w:r>
    </w:p>
    <w:bookmarkEnd w:id="7"/>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注：A、B两项提供任意一项均可。</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提交响应文件截止日前3年在经营活动中没有重大违法记录的书面声明（截至提交响应文件截止日成立不足3年的供应商可提供自成立以来无重大违法记录的书面声明）。</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）本项目不接受联合体投标。</w:t>
      </w:r>
    </w:p>
    <w:p>
      <w:pPr>
        <w:pStyle w:val="35"/>
        <w:spacing w:line="360" w:lineRule="auto"/>
        <w:ind w:firstLine="480" w:firstLineChars="200"/>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三</w:t>
      </w:r>
      <w:r>
        <w:rPr>
          <w:rFonts w:ascii="Times New Roman" w:hAnsi="Times New Roman" w:cs="Times New Roman" w:eastAsiaTheme="minorEastAsia"/>
          <w:color w:val="000000" w:themeColor="text1"/>
          <w:highlight w:val="none"/>
          <w14:textFill>
            <w14:solidFill>
              <w14:schemeClr w14:val="tx1"/>
            </w14:solidFill>
          </w14:textFill>
        </w:rPr>
        <w:t>）本项目专门面向中小企业采购 ，提供《中小企业声明函》。</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五、项目需要落实的政府采购政策</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cs="Times New Roman" w:eastAsiaTheme="minorEastAsia"/>
          <w:color w:val="000000" w:themeColor="text1"/>
          <w:highlight w:val="none"/>
          <w14:textFill>
            <w14:solidFill>
              <w14:schemeClr w14:val="tx1"/>
            </w14:solidFill>
          </w14:textFill>
        </w:rPr>
        <w:t xml:space="preserve">本项目专门面向中小企业采购 </w:t>
      </w:r>
      <w:r>
        <w:rPr>
          <w:rFonts w:ascii="Times New Roman" w:hAnsi="Times New Roman" w:eastAsia="宋体" w:cs="Times New Roman"/>
          <w:color w:val="000000" w:themeColor="text1"/>
          <w:highlight w:val="none"/>
          <w14:textFill>
            <w14:solidFill>
              <w14:schemeClr w14:val="tx1"/>
            </w14:solidFill>
          </w14:textFill>
        </w:rPr>
        <w:t>。</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bookmarkEnd w:id="6"/>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六、获取竞争性磋商文件时间、方式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15</w:t>
      </w:r>
      <w:r>
        <w:rPr>
          <w:rFonts w:ascii="Times New Roman" w:hAnsi="Times New Roman" w:eastAsia="宋体" w:cs="Times New Roman"/>
          <w:color w:val="000000" w:themeColor="text1"/>
          <w:highlight w:val="none"/>
          <w14:textFill>
            <w14:solidFill>
              <w14:schemeClr w14:val="tx1"/>
            </w14:solidFill>
          </w14:textFill>
        </w:rPr>
        <w:t>日，</w:t>
      </w:r>
      <w:r>
        <w:rPr>
          <w:rFonts w:ascii="Times New Roman" w:hAnsi="Times New Roman" w:eastAsia="宋体" w:cs="Times New Roman"/>
          <w:color w:val="000000" w:themeColor="text1"/>
          <w:highlight w:val="none"/>
          <w14:textFill>
            <w14:solidFill>
              <w14:schemeClr w14:val="tx1"/>
            </w14:solidFill>
          </w14:textFill>
        </w:rPr>
        <w:t>每日9:00至17:00（北京时间，法定节假日除外）。</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获取竞争性磋商文件网址：使用天津数字认证有限公司发出的CA数字证书（原天津市电子认证中心发出尚在有效期内的CA数字证书仍可使用）登录天津市政府采购中心网（网址：</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ascii="Times New Roman" w:hAnsi="Times New Roman" w:eastAsia="宋体" w:cs="Times New Roman"/>
          <w:color w:val="000000" w:themeColor="text1"/>
          <w:highlight w:val="none"/>
          <w14:textFill>
            <w14:solidFill>
              <w14:schemeClr w14:val="tx1"/>
            </w14:solidFill>
          </w14:textFill>
        </w:rPr>
        <w:t>）-”网上招投标”-“供应商登录”-“市级集采机构入口”下载竞争性磋商文件。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供应商注册、CA数字证书（USBKey）领取、电子签章办理办法：</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w:t>
      </w:r>
      <w:r>
        <w:rPr>
          <w:rFonts w:hint="eastAsia" w:ascii="Times New Roman" w:hAnsi="Times New Roman" w:eastAsia="宋体" w:cs="Times New Roman"/>
          <w:color w:val="000000" w:themeColor="text1"/>
          <w:highlight w:val="none"/>
          <w14:textFill>
            <w14:solidFill>
              <w14:schemeClr w14:val="tx1"/>
            </w14:solidFill>
          </w14:textFill>
        </w:rPr>
        <w:t>用户注册维护</w:t>
      </w:r>
      <w:r>
        <w:rPr>
          <w:rFonts w:ascii="Times New Roman" w:hAnsi="Times New Roman" w:eastAsia="宋体" w:cs="Times New Roman"/>
          <w:color w:val="000000" w:themeColor="text1"/>
          <w:highlight w:val="none"/>
          <w14:textFill>
            <w14:solidFill>
              <w14:schemeClr w14:val="tx1"/>
            </w14:solidFill>
          </w14:textFill>
        </w:rPr>
        <w:t>”，填写相关内容。天津市政府采购中心注册窗口联系电话：022-24538167。</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电子签章办理联系电话：022-24538</w:t>
      </w:r>
      <w:r>
        <w:rPr>
          <w:rFonts w:hint="eastAsia" w:ascii="Times New Roman" w:hAnsi="Times New Roman" w:eastAsia="宋体" w:cs="Times New Roman"/>
          <w:color w:val="000000" w:themeColor="text1"/>
          <w:highlight w:val="none"/>
          <w14:textFill>
            <w14:solidFill>
              <w14:schemeClr w14:val="tx1"/>
            </w14:solidFill>
          </w14:textFill>
        </w:rPr>
        <w:t>059</w:t>
      </w:r>
      <w:r>
        <w:rPr>
          <w:rFonts w:ascii="Times New Roman" w:hAnsi="Times New Roman" w:eastAsia="宋体" w:cs="Times New Roman"/>
          <w:color w:val="000000" w:themeColor="text1"/>
          <w:highlight w:val="none"/>
          <w14:textFill>
            <w14:solidFill>
              <w14:schemeClr w14:val="tx1"/>
            </w14:solidFill>
          </w14:textFill>
        </w:rPr>
        <w:t>。</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）本项目不组织踏勘现场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标前答疑会。</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19</w:t>
      </w:r>
      <w:r>
        <w:rPr>
          <w:rFonts w:ascii="Times New Roman" w:hAnsi="Times New Roman" w:eastAsia="宋体" w:cs="Times New Roman"/>
          <w:color w:val="000000" w:themeColor="text1"/>
          <w:highlight w:val="none"/>
          <w14:textFill>
            <w14:solidFill>
              <w14:schemeClr w14:val="tx1"/>
            </w14:solidFill>
          </w14:textFill>
        </w:rPr>
        <w:t>日8:30，使用天津数字认证有限公司发出的CA数字证书（原天津市电子认证中心发出尚在有效期内的CA数字证书仍可使用）登陆天津市政府采购中心网（网址：http://tjgpc.zwfwb.tj.gov.cn）-”网上招投标”-“供应商登录”-“市级集采机构入口”进行应答并提交。</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八、提交电子响应文件截止时间及方式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19</w:t>
      </w:r>
      <w:r>
        <w:rPr>
          <w:rFonts w:ascii="Times New Roman" w:hAnsi="Times New Roman" w:eastAsia="宋体" w:cs="Times New Roman"/>
          <w:color w:val="000000" w:themeColor="text1"/>
          <w:highlight w:val="none"/>
          <w14:textFill>
            <w14:solidFill>
              <w14:schemeClr w14:val="tx1"/>
            </w14:solidFill>
          </w14:textFill>
        </w:rPr>
        <w:t>日8:30。提交电子响应文件截止时间前提交网上应答并分别上传加盖电子签章的第一、第二阶段电子响应文件（以通过天津公共资源电子签章客户端正确读取签章信息为准）方为有效响应。</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登陆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九、解密时间、方式及磋商地点</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19</w:t>
      </w:r>
      <w:r>
        <w:rPr>
          <w:rFonts w:ascii="Times New Roman" w:hAnsi="Times New Roman" w:eastAsia="宋体" w:cs="Times New Roman"/>
          <w:color w:val="000000" w:themeColor="text1"/>
          <w:highlight w:val="none"/>
          <w14:textFill>
            <w14:solidFill>
              <w14:schemeClr w14:val="tx1"/>
            </w14:solidFill>
          </w14:textFill>
        </w:rPr>
        <w:t>日8:30至9:30完成第一阶段解密的方为有效响应。</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解密方式：供应商须于上述规定时间内使用天津数字认证有限公司发出的CA数字证书（原天津市电子认证中心发出尚在有效期内的CA数字证书仍可使用）登陆天津市政府采购中心网（网址：http://tjgpc.zwfwb.tj.gov.cn）-”网上招投标”-“供应商登录”-“市级集采机构入口”完成解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十、采购代理机构名称、地址、联系人及联系方式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（一）采购代理机构名称：天津市政府采购中心</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（二）采购代理机构地址：天津市河东区红星路79号二楼（邮编：300161）</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（四）网址：http://tjgpc.zwfwb.tj.gov.cn</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（五）对外办公时间：法定工作日9:00～12:00，14:00～17:00</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（六）咨询服务电话：</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pPr>
        <w:pStyle w:val="35"/>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十一、采购人的名称、地址和联系方式</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天津市生态环境科学研究院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天津市南开区复康路17号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陈瑞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87671602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十二、质疑方式</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采购人质疑受理：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天津市生态环境科学研究院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天津市南开区复康路17号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陈瑞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87671602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十三、公告期限</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磋商公告的公告期限为3个工作日。</w:t>
      </w:r>
    </w:p>
    <w:p>
      <w:pPr>
        <w:pStyle w:val="35"/>
        <w:spacing w:line="360" w:lineRule="auto"/>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十四、招标代理服务费</w:t>
      </w:r>
    </w:p>
    <w:p>
      <w:pPr>
        <w:pStyle w:val="35"/>
        <w:spacing w:line="360" w:lineRule="auto"/>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本项目按以下比例向成交供应商收取招标代理服务费：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成交金额（万元）</w:t>
            </w:r>
          </w:p>
        </w:tc>
        <w:tc>
          <w:tcPr>
            <w:tcW w:w="3657"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100以下</w:t>
            </w:r>
          </w:p>
        </w:tc>
        <w:tc>
          <w:tcPr>
            <w:tcW w:w="3657"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100-500</w:t>
            </w:r>
          </w:p>
        </w:tc>
        <w:tc>
          <w:tcPr>
            <w:tcW w:w="3657"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500-1000</w:t>
            </w:r>
          </w:p>
        </w:tc>
        <w:tc>
          <w:tcPr>
            <w:tcW w:w="3657"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1000-5000</w:t>
            </w:r>
          </w:p>
        </w:tc>
        <w:tc>
          <w:tcPr>
            <w:tcW w:w="3657"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5000-10000</w:t>
            </w:r>
          </w:p>
        </w:tc>
        <w:tc>
          <w:tcPr>
            <w:tcW w:w="3657"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10000-100000</w:t>
            </w:r>
          </w:p>
        </w:tc>
        <w:tc>
          <w:tcPr>
            <w:tcW w:w="3657" w:type="dxa"/>
            <w:vAlign w:val="center"/>
          </w:tcPr>
          <w:p>
            <w:pPr>
              <w:tabs>
                <w:tab w:val="left" w:pos="750"/>
                <w:tab w:val="left" w:pos="840"/>
              </w:tabs>
              <w:adjustRightInd w:val="0"/>
              <w:snapToGrid w:val="0"/>
              <w:jc w:val="center"/>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0.05%</w:t>
            </w:r>
          </w:p>
        </w:tc>
      </w:tr>
    </w:tbl>
    <w:p>
      <w:pPr>
        <w:tabs>
          <w:tab w:val="left" w:pos="700"/>
        </w:tabs>
        <w:autoSpaceDE w:val="0"/>
        <w:autoSpaceDN w:val="0"/>
        <w:adjustRightInd w:val="0"/>
        <w:spacing w:line="360" w:lineRule="auto"/>
        <w:ind w:firstLine="480" w:firstLineChars="200"/>
        <w:rPr>
          <w:rFonts w:eastAsiaTheme="minorEastAsia"/>
          <w:color w:val="000000" w:themeColor="text1"/>
          <w:sz w:val="24"/>
          <w:highlight w:val="none"/>
          <w:lang w:val="zh-CN"/>
          <w14:textFill>
            <w14:solidFill>
              <w14:schemeClr w14:val="tx1"/>
            </w14:solidFill>
          </w14:textFill>
        </w:rPr>
      </w:pPr>
      <w:r>
        <w:rPr>
          <w:rFonts w:eastAsiaTheme="minorEastAsia"/>
          <w:color w:val="000000" w:themeColor="text1"/>
          <w:sz w:val="24"/>
          <w:highlight w:val="none"/>
          <w:lang w:val="zh-CN"/>
          <w14:textFill>
            <w14:solidFill>
              <w14:schemeClr w14:val="tx1"/>
            </w14:solidFill>
          </w14:textFill>
        </w:rPr>
        <w:t>服务费按差额定率累进法计算，向下取整，精确到元。例如</w:t>
      </w:r>
      <w:r>
        <w:rPr>
          <w:rFonts w:eastAsiaTheme="minorEastAsia"/>
          <w:color w:val="000000" w:themeColor="text1"/>
          <w:sz w:val="24"/>
          <w:highlight w:val="none"/>
          <w14:textFill>
            <w14:solidFill>
              <w14:schemeClr w14:val="tx1"/>
            </w14:solidFill>
          </w14:textFill>
        </w:rPr>
        <w:t>成交</w:t>
      </w:r>
      <w:r>
        <w:rPr>
          <w:rFonts w:eastAsiaTheme="minorEastAsia"/>
          <w:color w:val="000000" w:themeColor="text1"/>
          <w:sz w:val="24"/>
          <w:highlight w:val="none"/>
          <w:lang w:val="zh-CN"/>
          <w14:textFill>
            <w14:solidFill>
              <w14:schemeClr w14:val="tx1"/>
            </w14:solidFill>
          </w14:textFill>
        </w:rPr>
        <w:t>金额为6805000元，服务费=1000000×1%+（5000000-1000000）×0.8%+（6805000-5000000）×0.45%=50122.5元，服务费缴纳50122元。其中成交金额以《成交通知书》为准。</w:t>
      </w:r>
    </w:p>
    <w:p>
      <w:pPr>
        <w:tabs>
          <w:tab w:val="left" w:pos="700"/>
        </w:tabs>
        <w:autoSpaceDE w:val="0"/>
        <w:autoSpaceDN w:val="0"/>
        <w:adjustRightInd w:val="0"/>
        <w:spacing w:line="360" w:lineRule="auto"/>
        <w:ind w:firstLine="480" w:firstLineChars="200"/>
        <w:rPr>
          <w:rFonts w:eastAsiaTheme="minorEastAsia"/>
          <w:color w:val="000000" w:themeColor="text1"/>
          <w:sz w:val="24"/>
          <w:szCs w:val="24"/>
          <w:highlight w:val="none"/>
          <w:lang w:val="zh-CN"/>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成交供应商应于成交公告发布之日起5个工作日内缴纳</w:t>
      </w:r>
      <w:r>
        <w:rPr>
          <w:rFonts w:eastAsiaTheme="minor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招标代理服务费，缴费单位名称须与投标单位名称一致，缴费时请注明项目编号及成交包号。</w:t>
      </w:r>
    </w:p>
    <w:p>
      <w:pPr>
        <w:pStyle w:val="35"/>
        <w:spacing w:line="360" w:lineRule="auto"/>
        <w:ind w:firstLine="480" w:firstLineChars="200"/>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名        称：天津市公共资源交易中心</w:t>
      </w:r>
    </w:p>
    <w:p>
      <w:pPr>
        <w:pStyle w:val="35"/>
        <w:spacing w:line="360" w:lineRule="auto"/>
        <w:ind w:firstLine="480" w:firstLineChars="200"/>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xml:space="preserve">开户行及账号：中国建设银行股份有限公司天津明华支行 </w:t>
      </w:r>
    </w:p>
    <w:p>
      <w:pPr>
        <w:pStyle w:val="35"/>
        <w:spacing w:line="360" w:lineRule="auto"/>
        <w:ind w:firstLine="2152" w:firstLineChars="897"/>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1205 0162 4900 0000 0675</w:t>
      </w:r>
    </w:p>
    <w:p>
      <w:pPr>
        <w:pStyle w:val="35"/>
        <w:spacing w:line="360" w:lineRule="auto"/>
        <w:ind w:firstLine="480" w:firstLineChars="200"/>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银行联行号：105110039436</w:t>
      </w:r>
    </w:p>
    <w:p>
      <w:pPr>
        <w:pStyle w:val="35"/>
        <w:spacing w:line="360" w:lineRule="auto"/>
        <w:ind w:firstLine="480" w:firstLineChars="200"/>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纳税人识别号：1212 0000 MB1E 44809C</w:t>
      </w:r>
    </w:p>
    <w:p>
      <w:pPr>
        <w:pStyle w:val="35"/>
        <w:spacing w:line="360" w:lineRule="auto"/>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地址：天津市河东区红星路79号</w:t>
      </w:r>
    </w:p>
    <w:p>
      <w:pPr>
        <w:pStyle w:val="35"/>
        <w:spacing w:line="360" w:lineRule="auto"/>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缴费及申请开票系统：http://pay.tjggzy.cn/</w:t>
      </w:r>
    </w:p>
    <w:p>
      <w:pPr>
        <w:pStyle w:val="35"/>
        <w:spacing w:line="360" w:lineRule="auto"/>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缴费及开票咨询电话：022-24532012</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5"/>
        <w:spacing w:line="360" w:lineRule="auto"/>
        <w:ind w:firstLine="5520" w:firstLineChars="2300"/>
        <w:jc w:val="center"/>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7</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8</w:t>
      </w:r>
      <w:r>
        <w:rPr>
          <w:rFonts w:ascii="Times New Roman" w:hAnsi="Times New Roman" w:eastAsia="宋体" w:cs="Times New Roman"/>
          <w:color w:val="000000" w:themeColor="text1"/>
          <w:kern w:val="2"/>
          <w:highlight w:val="none"/>
          <w14:textFill>
            <w14:solidFill>
              <w14:schemeClr w14:val="tx1"/>
            </w14:solidFill>
          </w14:textFill>
        </w:rPr>
        <w:t>日</w:t>
      </w:r>
    </w:p>
    <w:p>
      <w:pPr>
        <w:pStyle w:val="35"/>
        <w:spacing w:line="360" w:lineRule="auto"/>
        <w:rPr>
          <w:rFonts w:ascii="Times New Roman" w:hAnsi="Times New Roman" w:eastAsia="宋体" w:cs="Times New Roman"/>
          <w:color w:val="000000" w:themeColor="text1"/>
          <w:kern w:val="2"/>
          <w:highlight w:val="none"/>
          <w14:textFill>
            <w14:solidFill>
              <w14:schemeClr w14:val="tx1"/>
            </w14:solidFill>
          </w14:textFill>
        </w:rPr>
      </w:pPr>
    </w:p>
    <w:p>
      <w:pPr>
        <w:pStyle w:val="35"/>
        <w:spacing w:line="360" w:lineRule="auto"/>
        <w:rPr>
          <w:rFonts w:ascii="Times New Roman" w:hAnsi="Times New Roman" w:eastAsia="宋体" w:cs="Times New Roman"/>
          <w:color w:val="000000" w:themeColor="text1"/>
          <w:kern w:val="2"/>
          <w:highlight w:val="none"/>
          <w14:textFill>
            <w14:solidFill>
              <w14:schemeClr w14:val="tx1"/>
            </w14:solidFill>
          </w14:textFill>
        </w:rPr>
      </w:pPr>
    </w:p>
    <w:p>
      <w:pPr>
        <w:widowControl/>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一、技术要求</w:t>
      </w:r>
    </w:p>
    <w:p>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（一）投标人须承诺所提供的服务、人员及设备符合相关国家强制性规定。</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二）投标人在响应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color w:val="000000" w:themeColor="text1"/>
          <w:sz w:val="24"/>
          <w:highlight w:val="none"/>
          <w:lang w:val="zh-CN"/>
          <w14:textFill>
            <w14:solidFill>
              <w14:schemeClr w14:val="tx1"/>
            </w14:solidFill>
          </w14:textFill>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（三）投标人根据对软件开发系统的理解，在技术文件中明确需求分析的结果和系统的整体结构，并对技术方案中的重点技术问题提出解决方案。</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（四）投标人须在投标方案中明确开发方法、开发环境和开发技术，并明确系统运行的硬件、软件和网络环境。</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（五）投标人应按照项目需求提出详细的工程期限、工程进度计划，包括项目总耗时段所投入的人力和完成的工作量等。</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六）投标人须在响应文件中，确定项目经理、项目需求分析师、系统分析员及主要软件开发人员，说明每个人的职责及开发任务，并附开发人员简历(含各成员的姓名、职务、职称、毕业学校、专业、专长、业绩等)。原则上不允许更换，如需更换开发人员，必须经采购人同意。</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七）投标人应在响应文件中提供质量保证计划，包括各阶段的进入、完成条件，各阶段的工作结果。其中“需求分析”和“系统分析”阶段必须编写《需求分析报告》和《设计说明书》，“测试”阶段必须编写测试报告。</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pPr>
        <w:tabs>
          <w:tab w:val="left" w:pos="210"/>
        </w:tabs>
        <w:autoSpaceDE w:val="0"/>
        <w:autoSpaceDN w:val="0"/>
        <w:adjustRightInd w:val="0"/>
        <w:spacing w:line="360" w:lineRule="auto"/>
        <w:ind w:firstLine="480" w:firstLineChars="200"/>
        <w:outlineLvl w:val="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（九）投标人须提供该项目开发全部源代码（拥有自主知识产权的产品和第三方产品除外），最终知识产权归需方所有，</w:t>
      </w:r>
      <w:r>
        <w:rPr>
          <w:color w:val="000000" w:themeColor="text1"/>
          <w:kern w:val="0"/>
          <w:sz w:val="24"/>
          <w:highlight w:val="none"/>
          <w14:textFill>
            <w14:solidFill>
              <w14:schemeClr w14:val="tx1"/>
            </w14:solidFill>
          </w14:textFill>
        </w:rPr>
        <w:t>并协助</w:t>
      </w:r>
      <w:r>
        <w:rPr>
          <w:color w:val="000000" w:themeColor="text1"/>
          <w:sz w:val="24"/>
          <w:highlight w:val="none"/>
          <w:lang w:val="zh-CN"/>
          <w14:textFill>
            <w14:solidFill>
              <w14:schemeClr w14:val="tx1"/>
            </w14:solidFill>
          </w14:textFill>
        </w:rPr>
        <w:t>需方</w:t>
      </w:r>
      <w:r>
        <w:rPr>
          <w:color w:val="000000" w:themeColor="text1"/>
          <w:kern w:val="0"/>
          <w:sz w:val="24"/>
          <w:highlight w:val="none"/>
          <w14:textFill>
            <w14:solidFill>
              <w14:schemeClr w14:val="tx1"/>
            </w14:solidFill>
          </w14:textFill>
        </w:rPr>
        <w:t>完成版权注册。</w:t>
      </w:r>
    </w:p>
    <w:p>
      <w:pPr>
        <w:spacing w:line="360" w:lineRule="auto"/>
        <w:ind w:firstLine="540" w:firstLineChars="22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（十）投标人必须在响应文件中提出完整的培训方案，包括最终用户的培训，保证用户能够掌握相关的技术并独立进行系统维护。</w:t>
      </w:r>
    </w:p>
    <w:p>
      <w:pPr>
        <w:spacing w:line="360" w:lineRule="auto"/>
        <w:ind w:firstLine="540" w:firstLineChars="22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（十一）具体需求详见本部分项目需求书。</w:t>
      </w:r>
    </w:p>
    <w:p>
      <w:pPr>
        <w:spacing w:line="360" w:lineRule="auto"/>
        <w:ind w:firstLine="540" w:firstLineChars="22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二）若本项目所涉及与其他系统的对接业务，采购人负责协调对接工作，确保开放接口协议、数据结构等与对接相关的所有资料，若因对接工作需其他系统开发商对其他系统进行的开发及其费用不属于本项目采购范围。</w:t>
      </w:r>
    </w:p>
    <w:p>
      <w:pPr>
        <w:spacing w:line="360" w:lineRule="auto"/>
        <w:ind w:firstLine="540" w:firstLineChars="22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（十三）若本项目涉及对采购人原有系统的修改或升级业务，采购人免费开放原有系统的接口协议、源代码、数据结构等与修改或升级相关的所有资料。如需原系统开发商配合修改或升级工作，采购人负责协调。</w:t>
      </w:r>
    </w:p>
    <w:p>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w:t>
      </w:r>
      <w:r>
        <w:rPr>
          <w:color w:val="000000" w:themeColor="text1"/>
          <w:sz w:val="24"/>
          <w:szCs w:val="24"/>
          <w:highlight w:val="none"/>
          <w14:textFill>
            <w14:solidFill>
              <w14:schemeClr w14:val="tx1"/>
            </w14:solidFill>
          </w14:textFill>
        </w:rPr>
        <w:t>商务要求</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（一）报价要求</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投标人的报价应包括：开发费、培训费、维护费、管理费及税金等为完成竞争性磋商文件规定全部工作所需的一切费用。投标人所报价格为任务完成的最终优惠价格。</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验收相关费用由投标人负责。</w:t>
      </w:r>
    </w:p>
    <w:p>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（二）服务要求</w:t>
      </w:r>
    </w:p>
    <w:p>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详见项目需求书，投标人提供详细的服务方案。</w:t>
      </w:r>
    </w:p>
    <w:p>
      <w:pPr>
        <w:autoSpaceDE w:val="0"/>
        <w:autoSpaceDN w:val="0"/>
        <w:adjustRightInd w:val="0"/>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2. 成交后，成交供应商须与采购人就数据信息安全签署保密协议。</w:t>
      </w:r>
    </w:p>
    <w:p>
      <w:pPr>
        <w:autoSpaceDE w:val="0"/>
        <w:autoSpaceDN w:val="0"/>
        <w:adjustRightInd w:val="0"/>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3. 投标人须在响应文件中承诺，若其为成交供应商，将对采购人已有或将来的各业务系统对接工作免费开放接口协议、数据结构等与对接相关的所有资料。</w:t>
      </w:r>
    </w:p>
    <w:p>
      <w:pPr>
        <w:pStyle w:val="35"/>
        <w:spacing w:line="360" w:lineRule="auto"/>
        <w:ind w:firstLine="480" w:firstLineChars="200"/>
        <w:jc w:val="both"/>
        <w:rPr>
          <w:rFonts w:ascii="Times New Roman" w:hAnsi="Times New Roman" w:cs="Times New Roman" w:eastAsiaTheme="minorEastAsia"/>
          <w:color w:val="000000" w:themeColor="text1"/>
          <w:kern w:val="2"/>
          <w:highlight w:val="none"/>
          <w14:textFill>
            <w14:solidFill>
              <w14:schemeClr w14:val="tx1"/>
            </w14:solidFill>
          </w14:textFill>
        </w:rPr>
      </w:pPr>
      <w:r>
        <w:rPr>
          <w:rFonts w:ascii="Times New Roman" w:hAnsi="Times New Roman" w:cs="Times New Roman" w:eastAsiaTheme="minorEastAsia"/>
          <w:color w:val="000000" w:themeColor="text1"/>
          <w:kern w:val="2"/>
          <w:highlight w:val="none"/>
          <w14:textFill>
            <w14:solidFill>
              <w14:schemeClr w14:val="tx1"/>
            </w14:solidFill>
          </w14:textFill>
        </w:rPr>
        <w:t>（三）时间、地点要求：</w:t>
      </w:r>
    </w:p>
    <w:p>
      <w:pPr>
        <w:pStyle w:val="35"/>
        <w:spacing w:line="360" w:lineRule="auto"/>
        <w:ind w:firstLine="480" w:firstLineChars="200"/>
        <w:jc w:val="both"/>
        <w:rPr>
          <w:rFonts w:ascii="Times New Roman" w:hAnsi="Times New Roman" w:cs="Times New Roman" w:eastAsiaTheme="minorEastAsia"/>
          <w:color w:val="000000" w:themeColor="text1"/>
          <w:kern w:val="2"/>
          <w:highlight w:val="none"/>
          <w14:textFill>
            <w14:solidFill>
              <w14:schemeClr w14:val="tx1"/>
            </w14:solidFill>
          </w14:textFill>
        </w:rPr>
      </w:pPr>
      <w:r>
        <w:rPr>
          <w:rFonts w:ascii="Times New Roman" w:hAnsi="Times New Roman" w:cs="Times New Roman" w:eastAsiaTheme="minorEastAsia"/>
          <w:color w:val="000000" w:themeColor="text1"/>
          <w:kern w:val="2"/>
          <w:highlight w:val="none"/>
          <w14:textFill>
            <w14:solidFill>
              <w14:schemeClr w14:val="tx1"/>
            </w14:solidFill>
          </w14:textFill>
        </w:rPr>
        <w:t>1. 时间要求：</w:t>
      </w:r>
      <w:r>
        <w:rPr>
          <w:rFonts w:hint="eastAsia" w:ascii="Times New Roman" w:hAnsi="Times New Roman" w:cs="Times New Roman" w:eastAsiaTheme="minorEastAsia"/>
          <w:color w:val="000000" w:themeColor="text1"/>
          <w:highlight w:val="none"/>
          <w14:textFill>
            <w14:solidFill>
              <w14:schemeClr w14:val="tx1"/>
            </w14:solidFill>
          </w14:textFill>
        </w:rPr>
        <w:t>自合同签订之日起至2025年1月31日</w:t>
      </w:r>
      <w:r>
        <w:rPr>
          <w:rFonts w:ascii="Times New Roman" w:hAnsi="Times New Roman" w:cs="Times New Roman" w:eastAsiaTheme="minorEastAsia"/>
          <w:color w:val="000000" w:themeColor="text1"/>
          <w:kern w:val="2"/>
          <w:highlight w:val="none"/>
          <w14:textFill>
            <w14:solidFill>
              <w14:schemeClr w14:val="tx1"/>
            </w14:solidFill>
          </w14:textFill>
        </w:rPr>
        <w:t>（特殊情况以合同为准）。</w:t>
      </w:r>
    </w:p>
    <w:p>
      <w:pPr>
        <w:pStyle w:val="35"/>
        <w:spacing w:line="360" w:lineRule="auto"/>
        <w:ind w:firstLine="480" w:firstLineChars="200"/>
        <w:jc w:val="both"/>
        <w:rPr>
          <w:rFonts w:ascii="Times New Roman" w:hAnsi="Times New Roman" w:cs="Times New Roman" w:eastAsiaTheme="minorEastAsia"/>
          <w:color w:val="000000" w:themeColor="text1"/>
          <w:kern w:val="2"/>
          <w:highlight w:val="none"/>
          <w14:textFill>
            <w14:solidFill>
              <w14:schemeClr w14:val="tx1"/>
            </w14:solidFill>
          </w14:textFill>
        </w:rPr>
      </w:pPr>
      <w:r>
        <w:rPr>
          <w:rFonts w:ascii="Times New Roman" w:hAnsi="Times New Roman" w:cs="Times New Roman" w:eastAsiaTheme="minorEastAsia"/>
          <w:color w:val="000000" w:themeColor="text1"/>
          <w:kern w:val="2"/>
          <w:highlight w:val="none"/>
          <w14:textFill>
            <w14:solidFill>
              <w14:schemeClr w14:val="tx1"/>
            </w14:solidFill>
          </w14:textFill>
        </w:rPr>
        <w:t>2. 交货地点：</w:t>
      </w:r>
      <w:r>
        <w:rPr>
          <w:rFonts w:hint="eastAsia" w:ascii="Times New Roman" w:hAnsi="Times New Roman" w:cs="Times New Roman" w:eastAsiaTheme="minorEastAsia"/>
          <w:color w:val="000000" w:themeColor="text1"/>
          <w:kern w:val="2"/>
          <w:highlight w:val="none"/>
          <w14:textFill>
            <w14:solidFill>
              <w14:schemeClr w14:val="tx1"/>
            </w14:solidFill>
          </w14:textFill>
        </w:rPr>
        <w:t>天津市行政区域内</w:t>
      </w:r>
      <w:r>
        <w:rPr>
          <w:rFonts w:ascii="Times New Roman" w:hAnsi="Times New Roman" w:cs="Times New Roman" w:eastAsiaTheme="minorEastAsia"/>
          <w:color w:val="000000" w:themeColor="text1"/>
          <w:kern w:val="2"/>
          <w:highlight w:val="none"/>
          <w14:textFill>
            <w14:solidFill>
              <w14:schemeClr w14:val="tx1"/>
            </w14:solidFill>
          </w14:textFill>
        </w:rPr>
        <w:t>（特殊情况以合同为准）。</w:t>
      </w:r>
    </w:p>
    <w:p>
      <w:pPr>
        <w:pStyle w:val="35"/>
        <w:spacing w:line="360" w:lineRule="auto"/>
        <w:ind w:firstLine="480" w:firstLineChars="200"/>
        <w:jc w:val="both"/>
        <w:rPr>
          <w:rFonts w:ascii="Times New Roman" w:hAnsi="Times New Roman" w:cs="Times New Roman" w:eastAsiaTheme="minorEastAsia"/>
          <w:color w:val="000000" w:themeColor="text1"/>
          <w:kern w:val="2"/>
          <w:highlight w:val="none"/>
          <w14:textFill>
            <w14:solidFill>
              <w14:schemeClr w14:val="tx1"/>
            </w14:solidFill>
          </w14:textFill>
        </w:rPr>
      </w:pPr>
      <w:r>
        <w:rPr>
          <w:rFonts w:ascii="Times New Roman" w:hAnsi="Times New Roman" w:cs="Times New Roman" w:eastAsiaTheme="minorEastAsia"/>
          <w:color w:val="000000" w:themeColor="text1"/>
          <w:kern w:val="2"/>
          <w:highlight w:val="none"/>
          <w14:textFill>
            <w14:solidFill>
              <w14:schemeClr w14:val="tx1"/>
            </w14:solidFill>
          </w14:textFill>
        </w:rPr>
        <w:t>（四）供应商须整包进行磋商，不得拆包分项磋商。</w:t>
      </w:r>
    </w:p>
    <w:p>
      <w:pPr>
        <w:pStyle w:val="35"/>
        <w:spacing w:line="360" w:lineRule="auto"/>
        <w:ind w:firstLine="480" w:firstLineChars="200"/>
        <w:jc w:val="both"/>
        <w:rPr>
          <w:rFonts w:ascii="Times New Roman" w:hAnsi="Times New Roman" w:cs="Times New Roman" w:eastAsiaTheme="minorEastAsia"/>
          <w:color w:val="000000" w:themeColor="text1"/>
          <w:kern w:val="2"/>
          <w:highlight w:val="none"/>
          <w14:textFill>
            <w14:solidFill>
              <w14:schemeClr w14:val="tx1"/>
            </w14:solidFill>
          </w14:textFill>
        </w:rPr>
      </w:pPr>
      <w:r>
        <w:rPr>
          <w:rFonts w:ascii="Times New Roman" w:hAnsi="Times New Roman" w:cs="Times New Roman" w:eastAsiaTheme="minorEastAsia"/>
          <w:color w:val="000000" w:themeColor="text1"/>
          <w:kern w:val="2"/>
          <w:highlight w:val="none"/>
          <w14:textFill>
            <w14:solidFill>
              <w14:schemeClr w14:val="tx1"/>
            </w14:solidFill>
          </w14:textFill>
        </w:rPr>
        <w:t>（五）磋商有效期：本项目磋商有效期为60天。</w:t>
      </w:r>
    </w:p>
    <w:p>
      <w:pPr>
        <w:pStyle w:val="35"/>
        <w:spacing w:line="360" w:lineRule="auto"/>
        <w:ind w:firstLine="480" w:firstLineChars="200"/>
        <w:jc w:val="both"/>
        <w:rPr>
          <w:rFonts w:ascii="Times New Roman" w:hAnsi="Times New Roman" w:cs="Times New Roman" w:eastAsiaTheme="minorEastAsia"/>
          <w:color w:val="000000" w:themeColor="text1"/>
          <w:kern w:val="2"/>
          <w:highlight w:val="none"/>
          <w14:textFill>
            <w14:solidFill>
              <w14:schemeClr w14:val="tx1"/>
            </w14:solidFill>
          </w14:textFill>
        </w:rPr>
      </w:pPr>
      <w:r>
        <w:rPr>
          <w:rFonts w:ascii="Times New Roman" w:hAnsi="Times New Roman" w:cs="Times New Roman" w:eastAsiaTheme="minorEastAsia"/>
          <w:color w:val="000000" w:themeColor="text1"/>
          <w:kern w:val="2"/>
          <w:highlight w:val="none"/>
          <w14:textFill>
            <w14:solidFill>
              <w14:schemeClr w14:val="tx1"/>
            </w14:solidFill>
          </w14:textFill>
        </w:rPr>
        <w:t>（六）付款方式</w:t>
      </w:r>
    </w:p>
    <w:p>
      <w:pPr>
        <w:pStyle w:val="35"/>
        <w:spacing w:line="360" w:lineRule="auto"/>
        <w:ind w:firstLine="480" w:firstLineChars="200"/>
        <w:jc w:val="both"/>
        <w:rPr>
          <w:rFonts w:ascii="Times New Roman" w:hAnsi="Times New Roman" w:cs="Times New Roman" w:eastAsiaTheme="minorEastAsia"/>
          <w:color w:val="000000" w:themeColor="text1"/>
          <w:kern w:val="2"/>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签定合同后，7个工作日内预付合同总额的50%，平台验收后30日内支付剩余50%款项</w:t>
      </w:r>
      <w:r>
        <w:rPr>
          <w:rFonts w:ascii="Times New Roman" w:hAnsi="Times New Roman" w:cs="Times New Roman" w:eastAsiaTheme="minorEastAsia"/>
          <w:color w:val="000000" w:themeColor="text1"/>
          <w:highlight w:val="none"/>
          <w14:textFill>
            <w14:solidFill>
              <w14:schemeClr w14:val="tx1"/>
            </w14:solidFill>
          </w14:textFill>
        </w:rPr>
        <w:t>（特殊情况以合同为准）。</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（七）磋商保证金及履约保证金：本项目不收取磋商保证金及履约保证金。</w:t>
      </w:r>
    </w:p>
    <w:p>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三、评分因素及评标标准</w:t>
      </w:r>
    </w:p>
    <w:tbl>
      <w:tblPr>
        <w:tblStyle w:val="1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42"/>
        <w:gridCol w:w="728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0分）</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（1）报价超过采购预算的，响应无效，未超过采购预算的报价按以下公式进行计算。</w:t>
            </w:r>
          </w:p>
          <w:p>
            <w:pPr>
              <w:widowControl/>
              <w:adjustRightInd w:val="0"/>
              <w:snapToGrid w:val="0"/>
              <w:rPr>
                <w:rFonts w:hint="default" w:eastAsia="宋体"/>
                <w:color w:val="000000" w:themeColor="text1"/>
                <w:kern w:val="0"/>
                <w:sz w:val="24"/>
                <w:szCs w:val="24"/>
                <w:highlight w:val="none"/>
                <w:lang w:val="en-US" w:eastAsia="zh-CN"/>
                <w14:textFill>
                  <w14:solidFill>
                    <w14:schemeClr w14:val="tx1"/>
                  </w14:solidFill>
                </w14:textFill>
              </w:rPr>
            </w:pPr>
            <w:r>
              <w:rPr>
                <w:color w:val="000000" w:themeColor="text1"/>
                <w:kern w:val="0"/>
                <w:sz w:val="24"/>
                <w:szCs w:val="24"/>
                <w:highlight w:val="none"/>
                <w14:textFill>
                  <w14:solidFill>
                    <w14:schemeClr w14:val="tx1"/>
                  </w14:solidFill>
                </w14:textFill>
              </w:rPr>
              <w:t>（2）价格得分=（评标基准价/报价）×</w:t>
            </w:r>
            <w:r>
              <w:rPr>
                <w:rFonts w:hint="eastAsia"/>
                <w:color w:val="000000" w:themeColor="text1"/>
                <w:kern w:val="0"/>
                <w:sz w:val="24"/>
                <w:szCs w:val="24"/>
                <w:highlight w:val="none"/>
                <w:lang w:val="en-US" w:eastAsia="zh-CN"/>
                <w14:textFill>
                  <w14:solidFill>
                    <w14:schemeClr w14:val="tx1"/>
                  </w14:solidFill>
                </w14:textFill>
              </w:rPr>
              <w:t>10</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注：满足磋商文件要求且报价最低的报价为评标基准价。</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r>
              <w:rPr>
                <w:color w:val="000000" w:themeColor="text1"/>
                <w:kern w:val="0"/>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393"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29</w:t>
            </w:r>
            <w:r>
              <w:rPr>
                <w:color w:val="000000" w:themeColor="text1"/>
                <w:kern w:val="0"/>
                <w:sz w:val="24"/>
                <w:szCs w:val="24"/>
                <w:highlight w:val="none"/>
                <w14:textFill>
                  <w14:solidFill>
                    <w14:schemeClr w14:val="tx1"/>
                  </w14:solidFill>
                </w14:textFill>
              </w:rPr>
              <w:t>分）</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w:t>
            </w:r>
            <w:r>
              <w:rPr>
                <w:rFonts w:hint="eastAsia"/>
                <w:color w:val="000000" w:themeColor="text1"/>
                <w:kern w:val="0"/>
                <w:sz w:val="24"/>
                <w:szCs w:val="24"/>
                <w:highlight w:val="none"/>
                <w14:textFill>
                  <w14:solidFill>
                    <w14:schemeClr w14:val="tx1"/>
                  </w14:solidFill>
                </w14:textFill>
              </w:rPr>
              <w:t>投标人</w:t>
            </w:r>
            <w:r>
              <w:rPr>
                <w:color w:val="000000" w:themeColor="text1"/>
                <w:kern w:val="0"/>
                <w:sz w:val="24"/>
                <w:szCs w:val="24"/>
                <w:highlight w:val="none"/>
                <w14:textFill>
                  <w14:solidFill>
                    <w14:schemeClr w14:val="tx1"/>
                  </w14:solidFill>
                </w14:textFill>
              </w:rPr>
              <w:t>曾实施</w:t>
            </w:r>
            <w:r>
              <w:rPr>
                <w:rFonts w:hint="eastAsia"/>
                <w:color w:val="000000" w:themeColor="text1"/>
                <w:kern w:val="0"/>
                <w:sz w:val="24"/>
                <w:szCs w:val="24"/>
                <w:highlight w:val="none"/>
                <w14:textFill>
                  <w14:solidFill>
                    <w14:schemeClr w14:val="tx1"/>
                  </w14:solidFill>
                </w14:textFill>
              </w:rPr>
              <w:t>的信息集成项目或软件开放项目的业绩</w:t>
            </w:r>
            <w:r>
              <w:rPr>
                <w:color w:val="000000" w:themeColor="text1"/>
                <w:kern w:val="0"/>
                <w:sz w:val="24"/>
                <w:szCs w:val="24"/>
                <w:highlight w:val="none"/>
                <w14:textFill>
                  <w14:solidFill>
                    <w14:schemeClr w14:val="tx1"/>
                  </w14:solidFill>
                </w14:textFill>
              </w:rPr>
              <w:t>，提供的证明材料均不得遮挡涂黑，否则不予认定加分。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合同</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扫描件。包括买卖双方名称及盖章、服务内容</w:t>
            </w:r>
            <w:r>
              <w:rPr>
                <w:rFonts w:hint="eastAsia"/>
                <w:bCs/>
                <w:color w:val="000000" w:themeColor="text1"/>
                <w:sz w:val="24"/>
                <w:highlight w:val="none"/>
                <w14:textFill>
                  <w14:solidFill>
                    <w14:schemeClr w14:val="tx1"/>
                  </w14:solidFill>
                </w14:textFill>
              </w:rPr>
              <w:t>、合同签订日期</w:t>
            </w:r>
            <w:r>
              <w:rPr>
                <w:color w:val="000000" w:themeColor="text1"/>
                <w:kern w:val="0"/>
                <w:sz w:val="24"/>
                <w:szCs w:val="24"/>
                <w:highlight w:val="none"/>
                <w14:textFill>
                  <w14:solidFill>
                    <w14:schemeClr w14:val="tx1"/>
                  </w14:solidFill>
                </w14:textFill>
              </w:rPr>
              <w:t>。</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w:t>
            </w:r>
            <w:r>
              <w:rPr>
                <w:rFonts w:hint="eastAsia"/>
                <w:color w:val="000000" w:themeColor="text1"/>
                <w:kern w:val="0"/>
                <w:sz w:val="24"/>
                <w:szCs w:val="24"/>
                <w:highlight w:val="none"/>
                <w14:textFill>
                  <w14:solidFill>
                    <w14:schemeClr w14:val="tx1"/>
                  </w14:solidFill>
                </w14:textFill>
              </w:rPr>
              <w:t>业绩2</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r>
              <w:rPr>
                <w:rFonts w:hint="eastAsia"/>
                <w:color w:val="000000" w:themeColor="text1"/>
                <w:kern w:val="0"/>
                <w:sz w:val="24"/>
                <w:szCs w:val="24"/>
                <w:highlight w:val="none"/>
                <w14:textFill>
                  <w14:solidFill>
                    <w14:schemeClr w14:val="tx1"/>
                  </w14:solidFill>
                </w14:textFill>
              </w:rPr>
              <w:t>。</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投标人具备质量管理体系认证、环境管理体系认证</w:t>
            </w:r>
            <w:r>
              <w:rPr>
                <w:rFonts w:hint="eastAsia"/>
                <w:color w:val="000000" w:themeColor="text1"/>
                <w:kern w:val="0"/>
                <w:sz w:val="24"/>
                <w:szCs w:val="24"/>
                <w:highlight w:val="none"/>
                <w14:textFill>
                  <w14:solidFill>
                    <w14:schemeClr w14:val="tx1"/>
                  </w14:solidFill>
                </w14:textFill>
              </w:rPr>
              <w:t>、职业健康安全管理体系认证证书</w:t>
            </w:r>
            <w:r>
              <w:rPr>
                <w:color w:val="000000" w:themeColor="text1"/>
                <w:kern w:val="0"/>
                <w:sz w:val="24"/>
                <w:szCs w:val="24"/>
                <w:highlight w:val="none"/>
                <w14:textFill>
                  <w14:solidFill>
                    <w14:schemeClr w14:val="tx1"/>
                  </w14:solidFill>
                </w14:textFill>
              </w:rPr>
              <w:t>，提供证书扫描件</w:t>
            </w:r>
            <w:r>
              <w:rPr>
                <w:rFonts w:hint="eastAsia"/>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1个证书扫描件</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分，最高</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numPr>
                <w:ilvl w:val="0"/>
                <w:numId w:val="1"/>
              </w:numPr>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投标人提供高新技术企业证书得2分，其他0分</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Theme="minor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Theme="minorEastAsia"/>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w:t>
            </w:r>
            <w:r>
              <w:rPr>
                <w:color w:val="000000" w:themeColor="text1"/>
                <w:sz w:val="24"/>
                <w:highlight w:val="none"/>
                <w14:textFill>
                  <w14:solidFill>
                    <w14:schemeClr w14:val="tx1"/>
                  </w14:solidFill>
                </w14:textFill>
              </w:rPr>
              <w:t>人员评价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投入的以下人员为投标单位正式员工，提供姓名、开标日前三个月（不含本月）中任意一个月的由投标单位为投入人员缴纳社会保险证明扫描件，否则不予认定加分。</w:t>
            </w:r>
          </w:p>
          <w:p>
            <w:pPr>
              <w:widowControl/>
              <w:adjustRightInd w:val="0"/>
              <w:snapToGrid w:val="0"/>
              <w:spacing w:line="36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（1）团队人员人数评价（4分）</w:t>
            </w:r>
          </w:p>
          <w:p>
            <w:pPr>
              <w:widowControl/>
              <w:adjustRightInd w:val="0"/>
              <w:snapToGrid w:val="0"/>
              <w:spacing w:line="36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投入本项目的团队人员（含项目负责人）不少于10人（含10人）</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得4分，其他0分。</w:t>
            </w:r>
          </w:p>
          <w:p>
            <w:pPr>
              <w:widowControl/>
              <w:adjustRightInd w:val="0"/>
              <w:snapToGrid w:val="0"/>
              <w:spacing w:line="36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（2）项目负责人拥有本科或以上学历的，</w:t>
            </w:r>
            <w:r>
              <w:rPr>
                <w:rFonts w:hint="eastAsia"/>
                <w:color w:val="000000" w:themeColor="text1"/>
                <w:kern w:val="0"/>
                <w:sz w:val="24"/>
                <w:szCs w:val="24"/>
                <w:highlight w:val="none"/>
                <w:lang w:val="en-US" w:eastAsia="zh-CN"/>
                <w14:textFill>
                  <w14:solidFill>
                    <w14:schemeClr w14:val="tx1"/>
                  </w14:solidFill>
                </w14:textFill>
              </w:rPr>
              <w:t>提供学历证书扫描件，</w:t>
            </w:r>
            <w:r>
              <w:rPr>
                <w:rFonts w:hint="eastAsia"/>
                <w:color w:val="000000" w:themeColor="text1"/>
                <w:kern w:val="0"/>
                <w:sz w:val="24"/>
                <w:szCs w:val="24"/>
                <w:highlight w:val="none"/>
                <w14:textFill>
                  <w14:solidFill>
                    <w14:schemeClr w14:val="tx1"/>
                  </w14:solidFill>
                </w14:textFill>
              </w:rPr>
              <w:t>得1分；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项目负责人具备高级工程师(电子信息工程类)或信息系统项目管理师证书的，</w:t>
            </w:r>
            <w:r>
              <w:rPr>
                <w:rFonts w:hint="eastAsia"/>
                <w:color w:val="000000" w:themeColor="text1"/>
                <w:kern w:val="0"/>
                <w:sz w:val="24"/>
                <w:szCs w:val="24"/>
                <w:highlight w:val="none"/>
                <w:lang w:val="en-US" w:eastAsia="zh-CN"/>
                <w14:textFill>
                  <w14:solidFill>
                    <w14:schemeClr w14:val="tx1"/>
                  </w14:solidFill>
                </w14:textFill>
              </w:rPr>
              <w:t>提供证书扫描件，</w:t>
            </w:r>
            <w:r>
              <w:rPr>
                <w:rFonts w:hint="eastAsia"/>
                <w:color w:val="000000" w:themeColor="text1"/>
                <w:kern w:val="0"/>
                <w:sz w:val="24"/>
                <w:szCs w:val="24"/>
                <w:highlight w:val="none"/>
                <w14:textFill>
                  <w14:solidFill>
                    <w14:schemeClr w14:val="tx1"/>
                  </w14:solidFill>
                </w14:textFill>
              </w:rPr>
              <w:t>得1分；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项目负责人负责过信息集成类项目或软件开放类项目</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提供工作简历</w:t>
            </w:r>
            <w:r>
              <w:rPr>
                <w:rFonts w:hint="eastAsia"/>
                <w:color w:val="000000" w:themeColor="text1"/>
                <w:kern w:val="0"/>
                <w:sz w:val="24"/>
                <w:szCs w:val="24"/>
                <w:highlight w:val="none"/>
                <w14:textFill>
                  <w14:solidFill>
                    <w14:schemeClr w14:val="tx1"/>
                  </w14:solidFill>
                </w14:textFill>
              </w:rPr>
              <w:t>，得 1分；</w:t>
            </w:r>
          </w:p>
          <w:p>
            <w:pPr>
              <w:widowControl/>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5）</w:t>
            </w:r>
            <w:r>
              <w:rPr>
                <w:rFonts w:hint="eastAsia"/>
                <w:color w:val="000000" w:themeColor="text1"/>
                <w:kern w:val="0"/>
                <w:sz w:val="24"/>
                <w:szCs w:val="24"/>
                <w:highlight w:val="none"/>
                <w14:textFill>
                  <w14:solidFill>
                    <w14:schemeClr w14:val="tx1"/>
                  </w14:solidFill>
                </w14:textFill>
              </w:rPr>
              <w:t>其他团队成员</w:t>
            </w:r>
            <w:r>
              <w:rPr>
                <w:rFonts w:hint="eastAsia"/>
                <w:color w:val="000000" w:themeColor="text1"/>
                <w:kern w:val="0"/>
                <w:sz w:val="24"/>
                <w:szCs w:val="24"/>
                <w:highlight w:val="none"/>
                <w:lang w:val="en-US" w:eastAsia="zh-CN"/>
                <w14:textFill>
                  <w14:solidFill>
                    <w14:schemeClr w14:val="tx1"/>
                  </w14:solidFill>
                </w14:textFill>
              </w:rPr>
              <w:t>具备</w:t>
            </w:r>
            <w:r>
              <w:rPr>
                <w:rFonts w:hint="eastAsia"/>
                <w:color w:val="000000" w:themeColor="text1"/>
                <w:kern w:val="0"/>
                <w:sz w:val="24"/>
                <w:szCs w:val="24"/>
                <w:highlight w:val="none"/>
                <w14:textFill>
                  <w14:solidFill>
                    <w14:schemeClr w14:val="tx1"/>
                  </w14:solidFill>
                </w14:textFill>
              </w:rPr>
              <w:t>信息系统项目管理师、系统集成项目管理师或高级工程师(电子信息工程类)</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提供</w:t>
            </w:r>
            <w:r>
              <w:rPr>
                <w:rFonts w:hint="eastAsia"/>
                <w:color w:val="000000" w:themeColor="text1"/>
                <w:kern w:val="0"/>
                <w:sz w:val="24"/>
                <w:szCs w:val="24"/>
                <w:highlight w:val="none"/>
                <w14:textFill>
                  <w14:solidFill>
                    <w14:schemeClr w14:val="tx1"/>
                  </w14:solidFill>
                </w14:textFill>
              </w:rPr>
              <w:t>证书</w:t>
            </w:r>
            <w:r>
              <w:rPr>
                <w:rFonts w:hint="eastAsia"/>
                <w:color w:val="000000" w:themeColor="text1"/>
                <w:kern w:val="0"/>
                <w:sz w:val="24"/>
                <w:szCs w:val="24"/>
                <w:highlight w:val="none"/>
                <w:lang w:val="en-US" w:eastAsia="zh-CN"/>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得1分，</w:t>
            </w:r>
            <w:r>
              <w:rPr>
                <w:rFonts w:hint="eastAsia"/>
                <w:color w:val="000000" w:themeColor="text1"/>
                <w:kern w:val="0"/>
                <w:sz w:val="24"/>
                <w:szCs w:val="24"/>
                <w:highlight w:val="none"/>
                <w:lang w:val="en-US" w:eastAsia="zh-CN"/>
                <w14:textFill>
                  <w14:solidFill>
                    <w14:schemeClr w14:val="tx1"/>
                  </w14:solidFill>
                </w14:textFill>
              </w:rPr>
              <w:t>最多</w:t>
            </w:r>
            <w:r>
              <w:rPr>
                <w:rFonts w:hint="eastAsia"/>
                <w:color w:val="000000" w:themeColor="text1"/>
                <w:kern w:val="0"/>
                <w:sz w:val="24"/>
                <w:szCs w:val="24"/>
                <w:highlight w:val="none"/>
                <w14:textFill>
                  <w14:solidFill>
                    <w14:schemeClr w14:val="tx1"/>
                  </w14:solidFill>
                </w14:textFill>
              </w:rPr>
              <w:t>2分。</w:t>
            </w:r>
          </w:p>
          <w:p>
            <w:pPr>
              <w:widowControl/>
              <w:adjustRightInd w:val="0"/>
              <w:snapToGrid w:val="0"/>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第（5）项一人持多证不可重复积分。</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Theme="minor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投标人承诺评价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承诺完全满足磋商文件“报价要求”、“时间地点要求”、“付款方式要求”和技术要求中非“</w:t>
            </w:r>
            <w:r>
              <w:rPr>
                <w:rFonts w:hint="eastAsia" w:ascii="宋体" w:hAnsi="宋体" w:cs="宋体"/>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”号要求的：</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分，其他0分。</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lang w:val="en-US" w:eastAsia="zh-CN"/>
                <w14:textFill>
                  <w14:solidFill>
                    <w14:schemeClr w14:val="tx1"/>
                  </w14:solidFill>
                </w14:textFill>
              </w:rPr>
              <w:t>61</w:t>
            </w:r>
            <w:r>
              <w:rPr>
                <w:color w:val="000000" w:themeColor="text1"/>
                <w:kern w:val="0"/>
                <w:sz w:val="24"/>
                <w:szCs w:val="24"/>
                <w:highlight w:val="none"/>
                <w14:textFill>
                  <w14:solidFill>
                    <w14:schemeClr w14:val="tx1"/>
                  </w14:solidFill>
                </w14:textFill>
              </w:rPr>
              <w:t>分）</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对本项目需求理解评价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14:textFill>
                  <w14:solidFill>
                    <w14:schemeClr w14:val="tx1"/>
                  </w14:solidFill>
                </w14:textFill>
              </w:rPr>
              <w:t>建设内容、主要功能设计、技术性要求、开发环境需求、系统服务等内容。</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对项目重点、难点的理解评价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至少包含针对本项目重点和难点的理解以及针对重点难点的应对解决方案。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未提供重点难点理解或应对解决方案或不满足招标文件要求或内容存在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应急预案评价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提供有效的运维应急响应方案，方案内容需涵盖组织指挥体系和相关职责、预警和预防机制、应急响应机制、后期处置及相关的保障措施。满足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进度安排评价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至少包含各阶段工作进度安排、按时限完成的保障措施、进度落后时的挽回措施等。</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验收方案评价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提供完整、有效的项目验收方案，方案应涉及平台的功能验收、性能验收、安全验收、兼容验收、文档验收等内容。</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方案内容存在3处瑕疵：2分；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4处及以上瑕疵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在服务过程中，与采购人配合沟通方案评价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指定专人为采购人服务</w:t>
            </w:r>
            <w:r>
              <w:rPr>
                <w:rFonts w:hint="eastAsia"/>
                <w:color w:val="000000" w:themeColor="text1"/>
                <w:kern w:val="0"/>
                <w:sz w:val="24"/>
                <w:szCs w:val="24"/>
                <w:highlight w:val="none"/>
                <w14:textFill>
                  <w14:solidFill>
                    <w14:schemeClr w14:val="tx1"/>
                  </w14:solidFill>
                </w14:textFill>
              </w:rPr>
              <w:t>、定期配合沟通频次、建立配合沟通内容记录台账、配合沟通效果反馈机制等方面内容。</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方案内容存在3处瑕疵：2分；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4处及以上瑕疵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服务质量保证</w:t>
            </w: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服务过程中保证服务质量的措施</w:t>
            </w:r>
            <w:r>
              <w:rPr>
                <w:rFonts w:hint="eastAsia"/>
                <w:color w:val="000000" w:themeColor="text1"/>
                <w:kern w:val="0"/>
                <w:sz w:val="24"/>
                <w:szCs w:val="24"/>
                <w:highlight w:val="none"/>
                <w14:textFill>
                  <w14:solidFill>
                    <w14:schemeClr w14:val="tx1"/>
                  </w14:solidFill>
                </w14:textFill>
              </w:rPr>
              <w:t>、对出现服务质量问题时如何挽回、人员服务态度保障、人员业务专业化水平保障等方面内容。</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保密管理方案评价</w:t>
            </w:r>
          </w:p>
        </w:tc>
        <w:tc>
          <w:tcPr>
            <w:tcW w:w="7288"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提供针对本项目的</w:t>
            </w:r>
            <w:r>
              <w:rPr>
                <w:rFonts w:hint="eastAsia" w:ascii="宋体" w:hAnsi="宋体" w:cs="宋体"/>
                <w:color w:val="000000" w:themeColor="text1"/>
                <w:kern w:val="0"/>
                <w:sz w:val="24"/>
                <w:szCs w:val="24"/>
                <w:highlight w:val="none"/>
                <w:lang w:bidi="ar"/>
                <w14:textFill>
                  <w14:solidFill>
                    <w14:schemeClr w14:val="tx1"/>
                  </w14:solidFill>
                </w14:textFill>
              </w:rPr>
              <w:t xml:space="preserve">保密管理制度、保密管理技术措施、人员保密管 理、文档保密管理等方面内容。 </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pPr>
        <w:spacing w:line="360" w:lineRule="auto"/>
        <w:ind w:firstLine="480" w:firstLineChars="200"/>
        <w:outlineLvl w:val="0"/>
        <w:rPr>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项目需求书</w:t>
      </w:r>
    </w:p>
    <w:p>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一、项目背景</w:t>
      </w:r>
    </w:p>
    <w:p>
      <w:pPr>
        <w:spacing w:line="360" w:lineRule="auto"/>
        <w:ind w:firstLine="560" w:firstLineChars="200"/>
        <w:outlineLvl w:val="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2021年10月26日，中国政府印发了《2030年前碳达峰行动方案》，进一步明确了双碳战略的路线图，指明了我国“双碳”发展目标及路径。此外，我国“十四五”规划中提出的“完善能源消费总量和强度双控制度，重点控制化石能源消费。实施以碳强度控制为主、碳排放总量控制为辅的制度，重点企业率先达到碳排放峰值”等内容，为在全国范围普遍开展碳排放数据检测系统提出了宏观需求。现阶段，各级地方政府碳排放“家底”尚未摸清，碳市场设计实践存在难点，缺乏有效的以碳排放数据为基础的监测体系支撑。</w:t>
      </w:r>
    </w:p>
    <w:p>
      <w:pPr>
        <w:spacing w:line="360" w:lineRule="auto"/>
        <w:ind w:firstLine="560" w:firstLineChars="200"/>
        <w:outlineLvl w:val="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在现有的碳排放管理平台的基础上，建设工业园区绿色低碳智能化分析及管理平台，主要针对工业园区进行减污降碳协同管控。工业园区绿色低碳智能化分析及管理平台采用自下而上的数据收集方式，通过对经济效益、污染物排放与应对气候变化三个方面的管控与支持，提高园区管理部门的智能化管控水平；利用建立企业碳账户等个性化手段，助力园区内企业的发展韧性与可持续性。</w:t>
      </w:r>
    </w:p>
    <w:p>
      <w:pPr>
        <w:spacing w:line="360" w:lineRule="auto"/>
        <w:ind w:firstLine="560" w:firstLineChars="200"/>
        <w:outlineLvl w:val="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平台依据国家公布的核算标准及地方的工作需求，针对碳生态环境中的碳数据、碳交易以科学合理的技术和管理机制建立而成。并引入区块链技术，促进各级政府和相关部门的跨区域、跨行业合作，形成全国性的碳排放监管体系，加强政策的协调和统一，推动全国范围内的碳减排和绿色发展。</w:t>
      </w:r>
    </w:p>
    <w:p>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本项目属于软件和信息技术服务业</w:t>
      </w:r>
    </w:p>
    <w:p>
      <w:pPr>
        <w:spacing w:line="360" w:lineRule="auto"/>
        <w:ind w:firstLine="480" w:firstLineChars="200"/>
        <w:outlineLvl w:val="0"/>
        <w:rPr>
          <w:color w:val="000000" w:themeColor="text1"/>
          <w:sz w:val="24"/>
          <w:highlight w:val="none"/>
          <w14:textFill>
            <w14:solidFill>
              <w14:schemeClr w14:val="tx1"/>
            </w14:solidFill>
          </w14:textFill>
        </w:rPr>
      </w:pP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w:t>
      </w:r>
      <w:r>
        <w:rPr>
          <w:rFonts w:hint="eastAsia"/>
          <w:color w:val="000000" w:themeColor="text1"/>
          <w:sz w:val="28"/>
          <w:szCs w:val="28"/>
          <w:highlight w:val="none"/>
          <w14:textFill>
            <w14:solidFill>
              <w14:schemeClr w14:val="tx1"/>
            </w14:solidFill>
          </w14:textFill>
        </w:rPr>
        <w:t>项目内容与技术要求</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建设工业园区绿色低碳智能化分析及管理平台，包含以下工作内容要求：</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1、硬件设施调试</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调试数据传输网络，确保数据的实时、准确传输，以及数据安全。</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调试数据中心和服务器集群，用于数据存储、处理和分析。</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2、软件系统开发：</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开发数据集成与管理系统，实现数据的自动清洗、整合和存储。</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开发分析与预测系统，利用数据分析技术对数据进行深入挖掘和预测。</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开发决策支持系统，为管理者提供决策依据和方案评估。</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开发监测与预警系统，实现关键指标的实时监测和预警。</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开发优化与调度系统，实现资源的优化配置和调度。</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3、信息安全保障</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建立信息安全管理制度，确保数据的机密性、完整性和可用性。</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采用加密技术、防火墙等措施，保护数据在传输和存储过程中的安全。</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定期对系统进行安全漏洞扫描和风险评估，及时修复潜在的安全隐患。</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4、培训与推广</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对工业园区内的企业和员工进行培训，提高他们对环保工作的认识和参与度。</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向其他工业园区推广该平台的建设经验和成果，推动整个行业的绿色、低碳和智能化发展。</w:t>
      </w:r>
    </w:p>
    <w:p>
      <w:pPr>
        <w:spacing w:line="360" w:lineRule="auto"/>
        <w:ind w:firstLine="560" w:firstLineChars="200"/>
        <w:rPr>
          <w:rFonts w:hint="eastAsia"/>
          <w:color w:val="000000" w:themeColor="text1"/>
          <w:sz w:val="28"/>
          <w:szCs w:val="28"/>
          <w:highlight w:val="none"/>
          <w14:textFill>
            <w14:solidFill>
              <w14:schemeClr w14:val="tx1"/>
            </w14:solidFill>
          </w14:textFill>
        </w:rPr>
      </w:pP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（二）主要功能设计</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平台功能包括但不限于以下部分：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1、数据集成与管理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实时收集工业园区内各企业、设备和系统的运行数据，包括污染物排放、温室气体排放、能源消耗、经济效益等。</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对数据进行清洗、整合和存储，确保数据的准确性、完整性和可追溯性。</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2、分析与预测</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利用数据分析技术，对工业园区的环境、经济和社会影响进行评估和预测。</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提供可视化分析报告，帮助管理者直观了解园区的整体状况和发展趋势。</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3、决策支持</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基于分析结果，为工业园区制定节能减排、绿色转型等方案提供决策支持。</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评估不同方案的成本效益、环境效益和社会效益，为管理者提供最优选择。</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4、监测与预警</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实时监测工业园区内关键指标的变化，如污染物排放浓度、温室气体排放量等。</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当指标超过预设阈值时，自动触发预警机制，提醒管理者及时采取措施。</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5、优化与调度</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根据分析结果和决策支持，对工业园区内的生产、能源、环保等资源进行优化配置和调度。</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实现资源的高效利用和污染物的减量化排放。</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6、公众参与</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提供公众参与的渠道，如信息公示、在线举报、意见反馈等。</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增强公众对工业园区环保工作的信任度和参与度。</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（三）技术性要求</w:t>
      </w:r>
    </w:p>
    <w:p>
      <w:pPr>
        <w:spacing w:line="360" w:lineRule="auto"/>
        <w:ind w:firstLine="560" w:firstLineChars="200"/>
        <w:rPr>
          <w:rFonts w:hint="eastAsia"/>
          <w:color w:val="000000" w:themeColor="text1"/>
          <w:sz w:val="28"/>
          <w:szCs w:val="28"/>
          <w:highlight w:val="none"/>
          <w14:textFill>
            <w14:solidFill>
              <w14:schemeClr w14:val="tx1"/>
            </w14:solidFill>
          </w14:textFill>
        </w:rPr>
      </w:pPr>
      <w:bookmarkStart w:id="8" w:name="_Toc292288994"/>
      <w:bookmarkStart w:id="9" w:name="_Toc292288700"/>
      <w:bookmarkStart w:id="10" w:name="_Toc18051"/>
      <w:bookmarkStart w:id="11" w:name="_Toc9903"/>
      <w:bookmarkStart w:id="12" w:name="_Toc292288966"/>
      <w:bookmarkStart w:id="13" w:name="_Toc292288628"/>
      <w:bookmarkStart w:id="14" w:name="_Toc2027"/>
      <w:bookmarkStart w:id="15" w:name="_Toc121539302"/>
      <w:r>
        <w:rPr>
          <w:rFonts w:hint="eastAsia"/>
          <w:color w:val="000000" w:themeColor="text1"/>
          <w:sz w:val="28"/>
          <w:szCs w:val="28"/>
          <w:highlight w:val="none"/>
          <w14:textFill>
            <w14:solidFill>
              <w14:schemeClr w14:val="tx1"/>
            </w14:solidFill>
          </w14:textFill>
        </w:rPr>
        <w:t>1、一般性技术要求：</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（1）面向对象思想设计；</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（2）使用主流编程语言进行开发，JAVA、vue2.0等；</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（3）数据库建设使用Mysql；</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（4）采用前后分离、模板引擎搭建项目框架；</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（5）注重安全防范；</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2、模块要求</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对本平台关键模块提出技术要求。</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（1）登录模块</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账户登录时，需要使用USBKey+数字证书的方式登录，通过数字签名、公钥加密、数字证书等技术，验证USBKey的合法性、证书状态有效性、用户身份真实性，确保登录系统的用户身份真实可信。</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（2）注册模块</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注册时，园区内企业需要据实填写企业名称、社会统一信用代码、上传企业资质文件、联系人（经办人）、电话、电力能源户号、选择企业所属行业、选择企业所属行政区划、填写邮寄地址等信息后可点击注册，申请碳账户开通。</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填写完成并扫码支付，支付Usbkey和数字证书费用。</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碳账户开通需要在填写注册信息、支付费用后，由管理员审批，并流转至制证员处检查后制证，制证后会以短信的方式告知碳账户制证结果和邮寄信息（用户证书发放后有效期1年）。</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（3）碳数据上报</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碳账户需要定期记录和汇总其碳排放数据，这些数据将用于计算和报告碳排放量。碳账户在每个季度（每个月等）固定期限范围内，需要选择对应的行业来填报自己企业的碳排放数据上报给平台。由碳账户所在区划管理员审查分析数据。</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碳账户上传数据后，通过USBKey中存储的用户数字证书的私钥对上传的数据进行数字签名，防止被人恶意修改，确保数据存储的完整性。</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（4）碳数据管理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碳数据管理主要展示碳账户年度碳数据。</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碳数据主要展示碳账户上报的碳数据，根据国家标准、地方标准制定的碳排放、碳强度、GDP等多维度数据的年度数据。并支持下载征信报告，碳征信报告中加盖相关部门公章，保障碳征信报告真实性和完整性以及签名人的不可否认性。</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根据登录者的角色权限，碳数据的展示信息不一致，平台管理员可查看所有碳账户的碳数据信息。通过不同的条件筛选定位碳账户的碳数据。</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（5）证书管理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证书管理的职能包括：碳账户提交的证书更新申请、丢失补办。证书更新类审核需要管理员核对新上传的企业变更资质信息，核实无误后通过审批流转至制证员制证；当上传信息有误时，管理员退回证书更新申请，并发送短信告知。若制证员发现上传信息有误后，返回管理员核实退回更新申请。</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证书丢失补办类需要管理员核对上传的企业证明文件以及企业变更的资质信息，当信息无误、证件有效合法的情况下，予以通过审批，交由制证员进行制证操作。当上传信息有误时，管理员退回证书补办申请，并发送短信告知。若制证员发现上传信息有误后，返回管理员核实退回补办申请。</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（6）通知公告</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集中发布新闻、通知、公告、制度等，帮助碳账户即时了解碳生态环境的发展动态。</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（四）开发环境需求</w:t>
      </w:r>
    </w:p>
    <w:p>
      <w:pPr>
        <w:numPr>
          <w:ilvl w:val="0"/>
          <w:numId w:val="2"/>
        </w:numPr>
        <w:spacing w:line="360" w:lineRule="auto"/>
        <w:ind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用户界面需求</w:t>
      </w:r>
      <w:bookmarkEnd w:id="8"/>
      <w:bookmarkEnd w:id="9"/>
      <w:bookmarkEnd w:id="10"/>
      <w:bookmarkEnd w:id="11"/>
      <w:bookmarkEnd w:id="12"/>
      <w:bookmarkEnd w:id="13"/>
      <w:bookmarkEnd w:id="14"/>
      <w:bookmarkEnd w:id="15"/>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607"/>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1" w:type="dxa"/>
            <w:tcBorders>
              <w:bottom w:val="single" w:color="auto" w:sz="4" w:space="0"/>
            </w:tcBorders>
            <w:shd w:val="clear" w:color="auto" w:fill="D9D9D9"/>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需求编号</w:t>
            </w:r>
          </w:p>
        </w:tc>
        <w:tc>
          <w:tcPr>
            <w:tcW w:w="2607" w:type="dxa"/>
            <w:tcBorders>
              <w:bottom w:val="single" w:color="auto" w:sz="4" w:space="0"/>
            </w:tcBorders>
            <w:shd w:val="clear" w:color="auto" w:fill="D9D9D9"/>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需求名称</w:t>
            </w:r>
          </w:p>
        </w:tc>
        <w:tc>
          <w:tcPr>
            <w:tcW w:w="4480" w:type="dxa"/>
            <w:shd w:val="clear" w:color="auto" w:fill="D9D9D9"/>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w:t>
            </w:r>
          </w:p>
        </w:tc>
        <w:tc>
          <w:tcPr>
            <w:tcW w:w="2607"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网页制作界面</w:t>
            </w:r>
          </w:p>
        </w:tc>
        <w:tc>
          <w:tcPr>
            <w:tcW w:w="4480" w:type="dxa"/>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管理系统采用B/S架构，界面采用网页制作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w:t>
            </w:r>
          </w:p>
        </w:tc>
        <w:tc>
          <w:tcPr>
            <w:tcW w:w="2607"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支持Chrome浏览器</w:t>
            </w:r>
          </w:p>
        </w:tc>
        <w:tc>
          <w:tcPr>
            <w:tcW w:w="4480" w:type="dxa"/>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支持Chrome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p>
        </w:tc>
        <w:tc>
          <w:tcPr>
            <w:tcW w:w="2607"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适应多种浏览器显示要求</w:t>
            </w:r>
          </w:p>
        </w:tc>
        <w:tc>
          <w:tcPr>
            <w:tcW w:w="4480" w:type="dxa"/>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界面设计能适应目前主流的宽屏和普屏浏览，不失真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w:t>
            </w:r>
          </w:p>
        </w:tc>
        <w:tc>
          <w:tcPr>
            <w:tcW w:w="2607" w:type="dxa"/>
            <w:shd w:val="clear" w:color="auto" w:fill="FFFFFF"/>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界面风格</w:t>
            </w:r>
          </w:p>
        </w:tc>
        <w:tc>
          <w:tcPr>
            <w:tcW w:w="4480" w:type="dxa"/>
            <w:vAlign w:val="center"/>
          </w:tcPr>
          <w:p>
            <w:pPr>
              <w:jc w:val="center"/>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系统界面保持统一风格</w:t>
            </w:r>
          </w:p>
        </w:tc>
      </w:tr>
    </w:tbl>
    <w:p>
      <w:pPr>
        <w:spacing w:line="360" w:lineRule="auto"/>
        <w:ind w:firstLine="840" w:firstLineChars="300"/>
        <w:rPr>
          <w:color w:val="000000" w:themeColor="text1"/>
          <w:sz w:val="28"/>
          <w:szCs w:val="28"/>
          <w:highlight w:val="none"/>
          <w14:textFill>
            <w14:solidFill>
              <w14:schemeClr w14:val="tx1"/>
            </w14:solidFill>
          </w14:textFill>
        </w:rPr>
      </w:pPr>
      <w:r>
        <w:rPr>
          <w:rFonts w:ascii="Wingdings" w:hAnsi="Wingdings"/>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系统安全保密设计</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系统采用全新的微服务模式，统一的账号认证系统；统一的权限管理，为不同角色的用户分配不同的权限；系统部分敏感数据加密存储，防止泄密；加强日志系统的审计，操作留痕。</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（五）系统服务</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中标人负责对接各地区需求对接、迭代平台功能；培训账户并引导账户填报相关碳数据、使用平台各类服务的申报；负责证书的发放、后期证书等各类服务。</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建设验收完成后，项目进入服务期，中标人向采购人定期递交服务情况报告。</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w:t>
      </w:r>
      <w:r>
        <w:rPr>
          <w:rFonts w:hint="eastAsia"/>
          <w:color w:val="000000" w:themeColor="text1"/>
          <w:sz w:val="28"/>
          <w:szCs w:val="28"/>
          <w:highlight w:val="none"/>
          <w14:textFill>
            <w14:solidFill>
              <w14:schemeClr w14:val="tx1"/>
            </w14:solidFill>
          </w14:textFill>
        </w:rPr>
        <w:t>、验收标准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可以从以下方面进行验收：</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1、功能验收标准：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完整性：平台必须实现合同或需求规格中规定的所有功能。</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正确性：功能应按照预期工作，无逻辑错误或漏洞。</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可靠性：功能在正常和异常情况下都能稳定运行，不应出现故障或频繁崩溃。</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易用性：平台的用户界面应友好，用户能够轻松理解和使用所有功能。</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2、性能验收标准：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稳定性：平台在正常工作负载下都能保持稳定运行，无性能波动。</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高效性：平台响应迅速，处理速度快，满足性能需求规格中的标准。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可扩展性：平台能够适应未来增长或变化的需求，包括支持更多用户或数据量等。</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3、安全验收标准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保密性：确保平台存储和处理的数据的安全性和隐私性，防止未授权访问。</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可控性：平台应有有效的安全控制措施，如用户权限管理，确保只有授权用户才能访问敏感功能。</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安全性测试：应进行安全性测试，确保没有安全漏洞或风险。</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4、兼容性验收标准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硬件兼容性：平台应能在合同约定的所有硬件上稳定运行。</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操作系统兼容性：确保平台与所有支持的操作系统版本兼容。</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网络环境兼容性：平台在各种网络环境下都能正常工作，包括不同的网络速度和质量。</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5、文档验收标准</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完整性：提供全面的文档，包括用户手册、安装指南、配置说明和维护文档。</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准确性：文档内容必须准确反映软件平台的功能和操作步骤。</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清晰性：文档应易于理解，术语使用恰当，格式一致。</w:t>
      </w:r>
    </w:p>
    <w:p>
      <w:pPr>
        <w:spacing w:line="360" w:lineRule="auto"/>
        <w:ind w:firstLine="560" w:firstLineChars="200"/>
        <w:rPr>
          <w:rFonts w:hint="eastAsia"/>
          <w:color w:val="000000" w:themeColor="text1"/>
          <w:sz w:val="28"/>
          <w:szCs w:val="28"/>
          <w:highlight w:val="none"/>
          <w14:textFill>
            <w14:solidFill>
              <w14:schemeClr w14:val="tx1"/>
            </w14:solidFill>
          </w14:textFill>
        </w:rPr>
      </w:pPr>
    </w:p>
    <w:p>
      <w:pPr>
        <w:pStyle w:val="12"/>
        <w:rPr>
          <w:rFonts w:ascii="Times New Roman" w:hAnsi="Times New Roman"/>
          <w:color w:val="000000" w:themeColor="text1"/>
          <w:highlight w:val="none"/>
          <w:lang w:val="en-US"/>
          <w14:textFill>
            <w14:solidFill>
              <w14:schemeClr w14:val="tx1"/>
            </w14:solidFill>
          </w14:textFill>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pPr>
        <w:pStyle w:val="3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16" w:name="_Toc411426751"/>
    </w:p>
    <w:p>
      <w:pPr>
        <w:pStyle w:val="3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本竞争性磋商文件仅适用于磋商邀请函中所叙述项目货物和服务的采购。</w:t>
      </w:r>
    </w:p>
    <w:p>
      <w:pPr>
        <w:pStyle w:val="35"/>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pPr>
        <w:pStyle w:val="35"/>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pPr>
        <w:pStyle w:val="35"/>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pPr>
        <w:pStyle w:val="35"/>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“投标人”系指向采购代理机构提交响应文件的供应商。</w:t>
      </w:r>
    </w:p>
    <w:p>
      <w:pPr>
        <w:pStyle w:val="35"/>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“服务”系指按本竞争性磋商文件规定供应商须承担的相关服务和竞争性磋商文件中规定供应商应承担的相关义务。</w:t>
      </w:r>
    </w:p>
    <w:p>
      <w:pPr>
        <w:pStyle w:val="35"/>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符合《中华人民共和国政府采购法》第二十二条供应商参加政府采购活动应当具备的条件及其他有关法律、法规关于供应商的有关规定，有能力提供磋商采购货物及服务的供应商。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关于联合体参与磋商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《磋商邀请函》接受联合体参与磋商的：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下载竞争性磋商文件时，应以联合体协议中确定的主体方名义下载。</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ascii="Times New Roman" w:hAnsi="Times New Roman" w:eastAsia="宋体" w:cs="Times New Roman"/>
          <w:color w:val="000000" w:themeColor="text1"/>
          <w:highlight w:val="none"/>
          <w14:textFill>
            <w14:solidFill>
              <w14:schemeClr w14:val="tx1"/>
            </w14:solidFill>
          </w14:textFill>
        </w:rPr>
        <w:t>。如同时参加，则评审时将同时被拒绝。</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4.5 关于分公司参与磋商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4.6 关于提供前期服务的供应商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4.7 关于中小微企业参与磋商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合格的货物和相关服务</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除《磋商项目需求》有特殊规定外，投标人提供的货物应当是全新的、未使用过的，货物和相关服务应当符合竞争性磋商文件的要求，并且其质量完全符合国家标准、行业标准或地方标准。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无论投标过程中的做法和结果如何，投标人自行承担所有与参加磋商有关的费用。</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天津政府采购网（http://tjgp.cz.tj.gov.cn）”和“天津政府采购中心网（http://tjgpc.zwfwb.tj.gov.cn）”公开发布。投标人在参与本采购项目磋商活动期间，请及时关注上述媒体和天津市政府采购中心招投标系统“查看项目文件”的相关信息。因没有及时关注而未能如期获取相关信息，投标人自行承担由此可能产生的风险。</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 询问与质疑</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8.2 询问</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（1）询问可以采取电话、当面或书面等形式。</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8.3 质疑</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5"/>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竞争性磋商文件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竞争性磋商文件的构成</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 竞争性磋商文件由下述部分组成：</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（2）磋商项目要求；</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（3）供应商须知；</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（4）合同草案；</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（5）响应文件格式；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（6）竞争性磋商文件的更正公告内容（如有）。</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除非有特殊要求，竞争性磋商文件不单独提供磋商项目使用地的自然环境、气候条件、公用设施等情况，投标人被视为熟悉上述与履行合同有关的一切情况。</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10.3 《磋商项目需求》加注“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”号条款为实质性技术条款，不得出现负偏离，发生负偏离即做无效标处理。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竞争性磋商文件中涉及的参照品牌、型号仅起说明作用，并没有任何限制性，投标人在投标中可以选用其他替代品牌或型号，但这些替代要实质上优于或相当于磋商要求。</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竞争性磋商文件的澄清和修改</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提交首次响应文件截止之日前，采购人、采购代理机构需要对磋商文件进行补充或修改的，采购人、采购代理机构将会通过“天津市政府采购网”、“天津市政府采购中心网”以更正公告形式发布。</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答疑会和踏勘现场</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采购人、采购代理机构召开答疑会的，所有投标人应按《磋商邀请函》规定的时间、地点参加答疑会。投标人如不参加，其风险由投标人自行承担，采购人、采购代理机构不承担任何责任。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采购人、采购代理机构组织踏勘现场的，所有投标人按《磋商邀请函》规定的时间、地点参加踏勘现场活动。投标人如不参加，其风险由投标人自行承担，采购人、采购代理机构不承担任何责任。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响应文件的编制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投标人应根据磋商项目需求和响应文件格式编制响应文件，保证其真实有效，并承担相应的法律责任。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响应文件格式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投标人应按竞争性磋商文件第五部分提供的响应文件格式完整填写。因不按要求编制而引起系统无法检索、读取相关信息时，其后果由投标人自行承担。</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投标人可对本竞争性磋商文件“磋商项目要求”所列的所有货物进行投标，也可只对其中一包或几包的货物投标；若无特殊说明，每一包的内容不得分项投标，原则上按照整包确定成交供应商。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响应文件（包括封面和目录）的每一页，从封面开始按阿拉伯数字1、2、3…顺序编制页码。</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响应文件的组成</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按照《磋商邀请函》规定的时间分别上传加盖电子签章的两阶段电子响应文件。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报价</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17.2 报价是</w:t>
      </w:r>
      <w:r>
        <w:rPr>
          <w:rFonts w:ascii="Times New Roman" w:hAnsi="Times New Roman" w:cs="Times New Roman"/>
          <w:color w:val="000000" w:themeColor="text1"/>
          <w:highlight w:val="none"/>
          <w14:textFill>
            <w14:solidFill>
              <w14:schemeClr w14:val="tx1"/>
            </w14:solidFill>
          </w14:textFill>
        </w:rPr>
        <w:t>为完成竞争性磋商文件规定的一切工作所需的全部费用的最终优惠价格。</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投标人资格证明文件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投标人必须提交证明其有资格进行投标和有能力履行合同的文件，作为响应文件的一部分。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技术响应文件</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投标人须提交证明其拟供货物符合竞争性磋商文件规定的技术响应文件，作为响应文件的一部分。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上述文件可以是文字资料、图纸或数据，并须提供：</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（1）货物主要技术性能的详细描述；</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（2）保证货物从采购人开始使用至竞争性磋商文件规定的保修期内正常和连续运转期间所需要的所有备件和专用工具的详细清单，包括其现行价格和供货来源资料；</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逐条对竞争性磋商文件要求的技术规格进行评议，并按竞争性磋商文件所附格式完整地填写《技术要求点对点应答表》，说明自己所投标的货物和相关服务内容与采购人、采购代理机构相应要求的偏离情况。</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投标保证金</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按照《磋商项目需求》要求执行。</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符合《政府采购法实施条例》和《政府采购竞争性磋商采购方式管理暂行办法》相关规定。</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磋商有效期</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响应文件的签署及规定</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22.2 投标人按照《磋商邀请函》的要求提交网上应答并分别</w:t>
      </w:r>
      <w:r>
        <w:rPr>
          <w:rFonts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w:t>
      </w:r>
      <w:r>
        <w:rPr>
          <w:rFonts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响应文件因模糊不清或表达不清所引起的后果由投标人自负。</w:t>
      </w:r>
    </w:p>
    <w:p>
      <w:pPr>
        <w:pStyle w:val="3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pPr>
        <w:pStyle w:val="3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响应文件的网上应答和提交</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投标人须于《磋商邀请函》规定的投标截止时间前提交网上应答并上传加盖电子签章的电子响应文件（以通过天津公共资源电子签章客户端正确读取签章信息为准）。具体方式：登陆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制作和上传电子响应文件要求</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24.1 投标人须下载天津市政府采购中心网-下载中心-《天津公共资源电子签章客户端安装包及使用说明》。</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24.3 投标人应保证电子响应文件清晰，便于识别，如因上传、扫描、格式等原因导致评审时受到影响，由投标人自行承担相应责任。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25. 投标人须承诺接受电子投标的方式，并自行承担由此带来的废标、无效投标的风险。</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未按竞争性磋商文件的规定提交网上应答和上传加盖投标人电子签章的电子响应文件（以通过天津公共资源电子签章客户端正确读取签章信息为准）的投标将被拒绝。</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5"/>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磋商程序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磋商步骤</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pPr>
        <w:pStyle w:val="35"/>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供应商应当按照磋商文件的变动情况和磋商小组的要求重新提交电子响应文件，加盖电子签章</w:t>
      </w:r>
      <w:r>
        <w:rPr>
          <w:rFonts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27.4 第四步：经磋商确定最终采购需求和提交最后报价的供应商后，由磋商小组采用综合评分法对提交最后报价的供应商的响应文件和最后报价进行综合评分。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27.6 出现下列情形之一的，采购人或者采购代理机构应当终止竞争性磋商采购活动，发布项目终止公告并说明原因，重新开展采购活动：</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（1）因情况变化，不再符合规定的竞争性磋商采购方式适用情形的；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（2）出现影响采购公正的违法、违规行为的；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评审方法及标准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对竞争性磋商文件中描述有歧义或前后不一致的地方，磋商小组有权进行评判，但对同一条款的评判应适用于每个投标人。</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28.5 评审方法</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（5）成交候选供应商产生办法：按得分由高到低顺序确定成交候选供应商；得分相同的，按投标报价由低到高顺序确定成交候选供应商；得分且投标报价相同的，按技术指标优劣顺序确定成交候选供应商。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28.6 出现以下任何情形取消磋商资格：</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（3）响应文件中提供虚假材料的；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”号条款出现负偏离或经磋商小组认定未实质性响应竞争性磋商文件要求的或响应内容不符合相关强制性规定的；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（6）磋商报价超出采购预算的；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（7）存在串通情形的；</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w:t>
      </w:r>
      <w:r>
        <w:rPr>
          <w:rFonts w:hint="eastAsia" w:ascii="Times New Roman" w:hAnsi="Times New Roman" w:eastAsia="宋体" w:cs="Times New Roman"/>
          <w:color w:val="000000" w:themeColor="text1"/>
          <w:highlight w:val="none"/>
          <w14:textFill>
            <w14:solidFill>
              <w14:schemeClr w14:val="tx1"/>
            </w14:solidFill>
          </w14:textFill>
        </w:rPr>
        <w:t>参加同一合同项下投标的，相关投标均无效；</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（9）其他法定响应无效的情形。</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其他注意事项</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在磋商期间，投标人不得向磋商小组成员或采购代理机构询问评审情况、施加任何影响，不得进行旨在影响评审结果的活动。</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35"/>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如果几个投标人所投整包产品为同一品牌时，在服务承诺符合竞争性磋商文件的情况下，报价最低的投标人入围评审阶段。</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5"/>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成交供应商的产生</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30.2 采购人也可以按照《政府采购法》及其实施条例等法律法规的规定和竞争性磋商文件的要求确认成交供应商。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成交通知</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成交通知书》一经发出即发生法律效力。</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签订合同</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履约保证金</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若《磋商项目需求》规定须提交履约保证金的，成交供应商须按照规定要求提交履约保证金。</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 合同分包</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pPr>
        <w:pStyle w:val="35"/>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5"/>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5"/>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16"/>
    </w:p>
    <w:p>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）的政府采购结果和竞争性磋商文件的要求，并经双方协商一致，达成  合同：</w:t>
      </w:r>
    </w:p>
    <w:p>
      <w:pPr>
        <w:pStyle w:val="43"/>
        <w:numPr>
          <w:ilvl w:val="0"/>
          <w:numId w:val="3"/>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本合同为中小企业预留合同</w:t>
      </w:r>
    </w:p>
    <w:p>
      <w:pPr>
        <w:pStyle w:val="43"/>
        <w:numPr>
          <w:ilvl w:val="0"/>
          <w:numId w:val="3"/>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本合同非中小企业预留合同</w:t>
      </w:r>
    </w:p>
    <w:p>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pPr>
        <w:tabs>
          <w:tab w:val="left" w:pos="1133"/>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四、服务时间、地点、方式：见附件。</w:t>
      </w:r>
    </w:p>
    <w:p>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五、供方应随服务向需方交付的相关资料。如果所提交文件是外文的，供方有义务为需方提供中文或译成中文文件。</w:t>
      </w:r>
    </w:p>
    <w:p>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pPr>
        <w:tabs>
          <w:tab w:val="left" w:pos="0"/>
          <w:tab w:val="left" w:pos="721"/>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pPr>
        <w:pStyle w:val="7"/>
        <w:spacing w:line="520" w:lineRule="exact"/>
        <w:ind w:leftChars="-50" w:firstLine="480" w:firstLineChars="200"/>
        <w:rPr>
          <w:rFonts w:ascii="Times New Roman"/>
          <w:color w:val="000000" w:themeColor="text1"/>
          <w:sz w:val="24"/>
          <w:szCs w:val="24"/>
          <w:highlight w:val="none"/>
          <w14:textFill>
            <w14:solidFill>
              <w14:schemeClr w14:val="tx1"/>
            </w14:solidFill>
          </w14:textFill>
        </w:rPr>
      </w:pPr>
      <w:r>
        <w:rPr>
          <w:rFonts w:ascii="Times New Roman"/>
          <w:color w:val="000000" w:themeColor="text1"/>
          <w:sz w:val="24"/>
          <w:szCs w:val="24"/>
          <w:highlight w:val="none"/>
          <w14:textFill>
            <w14:solidFill>
              <w14:schemeClr w14:val="tx1"/>
            </w14:solidFill>
          </w14:textFill>
        </w:rPr>
        <w:t>八、有关涉及本合同供方向天津市政府采购中心所提交的</w:t>
      </w:r>
      <w:r>
        <w:rPr>
          <w:rFonts w:ascii="Times New Roman"/>
          <w:color w:val="000000" w:themeColor="text1"/>
          <w:sz w:val="24"/>
          <w:szCs w:val="24"/>
          <w:highlight w:val="none"/>
          <w:lang w:eastAsia="zh-CN"/>
          <w14:textFill>
            <w14:solidFill>
              <w14:schemeClr w14:val="tx1"/>
            </w14:solidFill>
          </w14:textFill>
        </w:rPr>
        <w:t>响应</w:t>
      </w:r>
      <w:r>
        <w:rPr>
          <w:rFonts w:ascii="Times New Roman"/>
          <w:color w:val="000000" w:themeColor="text1"/>
          <w:sz w:val="24"/>
          <w:szCs w:val="24"/>
          <w:highlight w:val="none"/>
          <w14:textFill>
            <w14:solidFill>
              <w14:schemeClr w14:val="tx1"/>
            </w14:solidFill>
          </w14:textFill>
        </w:rPr>
        <w:t>文件及有关澄清资料和服务承诺均视为本合同不可分割的部分，对供方具有约束力。</w:t>
      </w:r>
    </w:p>
    <w:p>
      <w:pPr>
        <w:tabs>
          <w:tab w:val="left" w:pos="0"/>
          <w:tab w:val="left" w:pos="315"/>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九、本合同一式   份，需方留存   份，供方留存   份，均具同等效力，签字盖章后生效。</w:t>
      </w:r>
    </w:p>
    <w:tbl>
      <w:tblPr>
        <w:tblStyle w:val="17"/>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tblPrEx>
          <w:tblCellMar>
            <w:top w:w="0" w:type="dxa"/>
            <w:left w:w="108" w:type="dxa"/>
            <w:bottom w:w="0" w:type="dxa"/>
            <w:right w:w="108" w:type="dxa"/>
          </w:tblCellMar>
        </w:tblPrEx>
        <w:tc>
          <w:tcPr>
            <w:tcW w:w="4261" w:type="dxa"/>
          </w:tcPr>
          <w:p>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tblPrEx>
          <w:tblCellMar>
            <w:top w:w="0" w:type="dxa"/>
            <w:left w:w="108" w:type="dxa"/>
            <w:bottom w:w="0" w:type="dxa"/>
            <w:right w:w="108" w:type="dxa"/>
          </w:tblCellMar>
        </w:tblPrEx>
        <w:tc>
          <w:tcPr>
            <w:tcW w:w="4261" w:type="dxa"/>
          </w:tcPr>
          <w:p>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pPr>
        <w:rPr>
          <w:color w:val="000000" w:themeColor="text1"/>
          <w:sz w:val="24"/>
          <w:szCs w:val="24"/>
          <w:highlight w:val="none"/>
          <w14:textFill>
            <w14:solidFill>
              <w14:schemeClr w14:val="tx1"/>
            </w14:solidFill>
          </w14:textFill>
        </w:rPr>
      </w:pPr>
    </w:p>
    <w:p>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  年  月  日</w:t>
      </w:r>
    </w:p>
    <w:p>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合同特殊条款由供方和需方根据项目的具体情况协商拟订。</w:t>
      </w: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pPr>
        <w:pStyle w:val="4"/>
        <w:jc w:val="center"/>
        <w:rPr>
          <w:color w:val="000000" w:themeColor="text1"/>
          <w:highlight w:val="none"/>
          <w14:textFill>
            <w14:solidFill>
              <w14:schemeClr w14:val="tx1"/>
            </w14:solidFill>
          </w14:textFill>
        </w:rPr>
      </w:pPr>
      <w:bookmarkStart w:id="17" w:name="_Toc411426753"/>
      <w:r>
        <w:rPr>
          <w:color w:val="000000" w:themeColor="text1"/>
          <w:highlight w:val="none"/>
          <w14:textFill>
            <w14:solidFill>
              <w14:schemeClr w14:val="tx1"/>
            </w14:solidFill>
          </w14:textFill>
        </w:rPr>
        <w:t>第五部分  响应文件格式</w:t>
      </w:r>
      <w:bookmarkEnd w:id="17"/>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第一阶段响应文件</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磋商代表人姓名：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第一阶段</w:t>
      </w:r>
      <w:r>
        <w:rPr>
          <w:b/>
          <w:bCs/>
          <w:color w:val="000000" w:themeColor="text1"/>
          <w:sz w:val="24"/>
          <w:highlight w:val="none"/>
          <w14:textFill>
            <w14:solidFill>
              <w14:schemeClr w14:val="tx1"/>
            </w14:solidFill>
          </w14:textFill>
        </w:rPr>
        <w:t>响应文件总目录</w:t>
      </w:r>
    </w:p>
    <w:p>
      <w:pPr>
        <w:autoSpaceDN w:val="0"/>
        <w:spacing w:line="360" w:lineRule="auto"/>
        <w:jc w:val="center"/>
        <w:rPr>
          <w:b/>
          <w:bCs/>
          <w:color w:val="000000" w:themeColor="text1"/>
          <w:sz w:val="24"/>
          <w:highlight w:val="none"/>
          <w14:textFill>
            <w14:solidFill>
              <w14:schemeClr w14:val="tx1"/>
            </w14:solidFill>
          </w14:textFill>
        </w:rPr>
      </w:pP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评分因素及评标标准页码检索</w:t>
      </w:r>
    </w:p>
    <w:p>
      <w:pPr>
        <w:widowControl/>
        <w:spacing w:line="360" w:lineRule="auto"/>
        <w:jc w:val="center"/>
        <w:rPr>
          <w:b/>
          <w:color w:val="000000" w:themeColor="text1"/>
          <w:sz w:val="24"/>
          <w:highlight w:val="none"/>
          <w14:textFill>
            <w14:solidFill>
              <w14:schemeClr w14:val="tx1"/>
            </w14:solidFill>
          </w14:textFill>
        </w:rPr>
      </w:pPr>
    </w:p>
    <w:p>
      <w:pPr>
        <w:widowControl/>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（投标人按磋商文件“评分因素及评标标准”中除涉及价格的评分项外的每个评分项逐项列明页码）</w:t>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根据贵方为</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的磋商邀请（项目编号：</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），签字代表</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（姓名职务）经正式授权并代表供应商</w:t>
      </w:r>
      <w:r>
        <w:rPr>
          <w:color w:val="000000" w:themeColor="text1"/>
          <w:kern w:val="0"/>
          <w:sz w:val="24"/>
          <w:highlight w:val="none"/>
          <w:u w:val="single"/>
          <w14:textFill>
            <w14:solidFill>
              <w14:schemeClr w14:val="tx1"/>
            </w14:solidFill>
          </w14:textFill>
        </w:rPr>
        <w:t xml:space="preserve">                   </w:t>
      </w:r>
      <w:r>
        <w:rPr>
          <w:color w:val="000000" w:themeColor="text1"/>
          <w:kern w:val="0"/>
          <w:sz w:val="24"/>
          <w:highlight w:val="none"/>
          <w14:textFill>
            <w14:solidFill>
              <w14:schemeClr w14:val="tx1"/>
            </w14:solidFill>
          </w14:textFill>
        </w:rPr>
        <w:t>（供应商名称、地址）</w:t>
      </w:r>
      <w:r>
        <w:rPr>
          <w:color w:val="000000" w:themeColor="text1"/>
          <w:sz w:val="24"/>
          <w:highlight w:val="none"/>
          <w14:textFill>
            <w14:solidFill>
              <w14:schemeClr w14:val="tx1"/>
            </w14:solidFill>
          </w14:textFill>
        </w:rPr>
        <w:t>提交网上应答及上传加盖电子签章的响应文件。</w:t>
      </w:r>
    </w:p>
    <w:p>
      <w:pPr>
        <w:autoSpaceDE w:val="0"/>
        <w:autoSpaceDN w:val="0"/>
        <w:adjustRightInd w:val="0"/>
        <w:spacing w:line="360" w:lineRule="auto"/>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我公司将按磋商文件的规定履行合同责任和义务。</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我公司的磋商有效期为开标之日起60天。</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我公司同意按照采购方要求提供的与投标有关的一切数据或资料，并声明响应文件及所提供的一切资料均真实有效。由于我公司提供资料不实而造成的责任和后果由我公司自行承担。</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我公司保证所投产品来自合法的供货渠道，若成交，则有义务向采购人提供其需要的有效书面证明材料。如果提供非法渠道的商品，视为欺诈，并承担相关责任。</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投标截止日前3年在经营活动中没有重大违法记录。</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我公司若成交，本承诺将成为合同不可分割的一部分，与合同具有同等的法律效力。</w:t>
      </w:r>
    </w:p>
    <w:p>
      <w:pPr>
        <w:numPr>
          <w:ilvl w:val="0"/>
          <w:numId w:val="4"/>
        </w:numPr>
        <w:spacing w:line="360" w:lineRule="auto"/>
        <w:ind w:left="0"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如违反上述承诺，我公司投标无效且接受相关部门依法作出的处罚，并承担通过“天津市政府采购网”等相关媒体予以公布的任何风险和责任。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 我公司开票信息如下，</w:t>
      </w:r>
      <w:r>
        <w:rPr>
          <w:b/>
          <w:color w:val="000000" w:themeColor="text1"/>
          <w:sz w:val="24"/>
          <w:highlight w:val="none"/>
          <w14:textFill>
            <w14:solidFill>
              <w14:schemeClr w14:val="tx1"/>
            </w14:solidFill>
          </w14:textFill>
        </w:rPr>
        <w:t>此信息与我公司在税务局注册的信息一致</w:t>
      </w:r>
      <w:r>
        <w:rPr>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纳税人识别号：</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地址、电话：</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开户行及账号：</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开具发票类型：□增值税专用发票         □增值税普通发票</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12. 我公司选择招标代理服务费发票领取方式（请自行选择以下任一方式并在相应□里划“√”）：</w:t>
      </w:r>
    </w:p>
    <w:p>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□上门自取</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□到付邮寄</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邮寄地址、邮编：</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pPr>
        <w:pStyle w:val="43"/>
        <w:spacing w:line="360" w:lineRule="auto"/>
        <w:ind w:left="900" w:firstLine="0" w:firstLineChars="0"/>
        <w:rPr>
          <w:color w:val="000000" w:themeColor="text1"/>
          <w:sz w:val="24"/>
          <w:highlight w:val="none"/>
          <w:lang w:val="en-US"/>
          <w14:textFill>
            <w14:solidFill>
              <w14:schemeClr w14:val="tx1"/>
            </w14:solidFill>
          </w14:textFill>
        </w:rPr>
      </w:pPr>
    </w:p>
    <w:p>
      <w:pPr>
        <w:pStyle w:val="43"/>
        <w:wordWrap w:val="0"/>
        <w:spacing w:line="360" w:lineRule="auto"/>
        <w:ind w:left="900" w:firstLine="0" w:firstLineChars="0"/>
        <w:jc w:val="right"/>
        <w:rPr>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投标人名称：</w:t>
      </w:r>
      <w:r>
        <w:rPr>
          <w:color w:val="000000" w:themeColor="text1"/>
          <w:sz w:val="24"/>
          <w:highlight w:val="none"/>
          <w:lang w:eastAsia="zh-CN"/>
          <w14:textFill>
            <w14:solidFill>
              <w14:schemeClr w14:val="tx1"/>
            </w14:solidFill>
          </w14:textFill>
        </w:rPr>
        <w:t xml:space="preserve">             </w:t>
      </w:r>
    </w:p>
    <w:p>
      <w:pPr>
        <w:pStyle w:val="43"/>
        <w:spacing w:line="360" w:lineRule="auto"/>
        <w:ind w:left="900" w:firstLine="0" w:firstLineChars="0"/>
        <w:jc w:val="right"/>
        <w:rPr>
          <w:color w:val="000000" w:themeColor="text1"/>
          <w:sz w:val="24"/>
          <w:highlight w:val="none"/>
          <w14:textFill>
            <w14:solidFill>
              <w14:schemeClr w14:val="tx1"/>
            </w14:solidFill>
          </w14:textFill>
        </w:rPr>
      </w:pPr>
    </w:p>
    <w:p>
      <w:pPr>
        <w:pStyle w:val="43"/>
        <w:spacing w:line="360" w:lineRule="auto"/>
        <w:ind w:left="900" w:firstLine="0" w:firstLineChars="0"/>
        <w:jc w:val="righ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 ：</w:t>
      </w:r>
      <w:r>
        <w:rPr>
          <w:b/>
          <w:bCs/>
          <w:color w:val="000000" w:themeColor="text1"/>
          <w:sz w:val="24"/>
          <w:highlight w:val="none"/>
          <w14:textFill>
            <w14:solidFill>
              <w14:schemeClr w14:val="tx1"/>
            </w14:solidFill>
          </w14:textFill>
        </w:rPr>
        <w:t>供应商资格要求证明文件</w:t>
      </w:r>
    </w:p>
    <w:p>
      <w:pPr>
        <w:spacing w:line="460" w:lineRule="exact"/>
        <w:ind w:left="192"/>
        <w:jc w:val="center"/>
        <w:rPr>
          <w:b/>
          <w:color w:val="000000" w:themeColor="text1"/>
          <w:sz w:val="24"/>
          <w:highlight w:val="none"/>
          <w14:textFill>
            <w14:solidFill>
              <w14:schemeClr w14:val="tx1"/>
            </w14:solidFill>
          </w14:textFill>
        </w:rPr>
      </w:pPr>
    </w:p>
    <w:p>
      <w:pPr>
        <w:spacing w:line="460" w:lineRule="exact"/>
        <w:ind w:left="192"/>
        <w:jc w:val="center"/>
        <w:rPr>
          <w:b/>
          <w:color w:val="000000" w:themeColor="text1"/>
          <w:sz w:val="24"/>
          <w:highlight w:val="none"/>
          <w14:textFill>
            <w14:solidFill>
              <w14:schemeClr w14:val="tx1"/>
            </w14:solidFill>
          </w14:textFill>
        </w:rPr>
      </w:pPr>
    </w:p>
    <w:p>
      <w:pPr>
        <w:spacing w:line="460" w:lineRule="exact"/>
        <w:ind w:left="192"/>
        <w:jc w:val="center"/>
        <w:rPr>
          <w:b/>
          <w:color w:val="000000" w:themeColor="text1"/>
          <w:sz w:val="24"/>
          <w:highlight w:val="none"/>
          <w14:textFill>
            <w14:solidFill>
              <w14:schemeClr w14:val="tx1"/>
            </w14:solidFill>
          </w14:textFill>
        </w:rPr>
      </w:pPr>
    </w:p>
    <w:p>
      <w:pPr>
        <w:spacing w:line="460" w:lineRule="exact"/>
        <w:ind w:left="192"/>
        <w:jc w:val="center"/>
        <w:rPr>
          <w:b/>
          <w:color w:val="000000" w:themeColor="text1"/>
          <w:sz w:val="24"/>
          <w:highlight w:val="none"/>
          <w14:textFill>
            <w14:solidFill>
              <w14:schemeClr w14:val="tx1"/>
            </w14:solidFill>
          </w14:textFill>
        </w:rPr>
      </w:pPr>
    </w:p>
    <w:p>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附件3</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磋商代表人授权书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我方对磋商代表人的签名事项负全部责任。</w:t>
      </w:r>
    </w:p>
    <w:p>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本授权书至磋商有效期结束前始终有效。</w:t>
      </w:r>
    </w:p>
    <w:p>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磋商代表人无转委托权，特此委托。</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48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w:t>
      </w:r>
    </w:p>
    <w:p>
      <w:pPr>
        <w:spacing w:line="360" w:lineRule="auto"/>
        <w:ind w:firstLine="5040" w:firstLineChars="2100"/>
        <w:rPr>
          <w:color w:val="000000" w:themeColor="text1"/>
          <w:sz w:val="24"/>
          <w:highlight w:val="none"/>
          <w14:textFill>
            <w14:solidFill>
              <w14:schemeClr w14:val="tx1"/>
            </w14:solidFill>
          </w14:textFil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shd w:val="clear" w:color="auto" w:fill="auto"/>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磋商代表人身份证背面</w:t>
            </w:r>
          </w:p>
        </w:tc>
      </w:tr>
    </w:tbl>
    <w:p>
      <w:pPr>
        <w:spacing w:line="360" w:lineRule="auto"/>
        <w:rPr>
          <w:color w:val="000000" w:themeColor="text1"/>
          <w:sz w:val="24"/>
          <w:highlight w:val="none"/>
          <w14:textFill>
            <w14:solidFill>
              <w14:schemeClr w14:val="tx1"/>
            </w14:solidFill>
          </w14:textFill>
        </w:rPr>
      </w:pPr>
    </w:p>
    <w:p>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附件4-1</w:t>
      </w:r>
    </w:p>
    <w:p>
      <w:pPr>
        <w:spacing w:line="460" w:lineRule="exact"/>
        <w:ind w:left="181"/>
        <w:jc w:val="center"/>
        <w:rPr>
          <w:b/>
          <w:color w:val="000000" w:themeColor="text1"/>
          <w:sz w:val="24"/>
          <w:highlight w:val="none"/>
          <w14:textFill>
            <w14:solidFill>
              <w14:schemeClr w14:val="tx1"/>
            </w14:solidFill>
          </w14:textFill>
        </w:rPr>
      </w:pP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17"/>
        <w:tblW w:w="5133" w:type="pct"/>
        <w:tblInd w:w="0" w:type="dxa"/>
        <w:tblLayout w:type="autofit"/>
        <w:tblCellMar>
          <w:top w:w="0" w:type="dxa"/>
          <w:left w:w="108" w:type="dxa"/>
          <w:bottom w:w="0" w:type="dxa"/>
          <w:right w:w="108" w:type="dxa"/>
        </w:tblCellMar>
      </w:tblPr>
      <w:tblGrid>
        <w:gridCol w:w="1706"/>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pPr>
        <w:spacing w:line="360" w:lineRule="auto"/>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附件4-2</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17"/>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磋商要求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投标人须承诺所提供的服务、人员及设备符合相关国家强制性规定</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pPr>
              <w:widowControl/>
              <w:snapToGrid w:val="0"/>
              <w:ind w:firstLine="360"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磋商要求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8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附件4-3</w:t>
      </w:r>
    </w:p>
    <w:p>
      <w:pPr>
        <w:spacing w:line="480" w:lineRule="auto"/>
        <w:jc w:val="center"/>
        <w:rPr>
          <w:b/>
          <w:color w:val="000000" w:themeColor="text1"/>
          <w:sz w:val="28"/>
          <w:highlight w:val="none"/>
          <w14:textFill>
            <w14:solidFill>
              <w14:schemeClr w14:val="tx1"/>
            </w14:solidFill>
          </w14:textFill>
        </w:rPr>
      </w:pPr>
      <w:r>
        <w:rPr>
          <w:b/>
          <w:color w:val="000000" w:themeColor="text1"/>
          <w:sz w:val="24"/>
          <w:highlight w:val="none"/>
          <w14:textFill>
            <w14:solidFill>
              <w14:schemeClr w14:val="tx1"/>
            </w14:solidFill>
          </w14:textFill>
        </w:rPr>
        <w:t>专业人员组成及任务分配</w:t>
      </w:r>
    </w:p>
    <w:p>
      <w:pPr>
        <w:spacing w:line="440" w:lineRule="exact"/>
        <w:rPr>
          <w:color w:val="000000" w:themeColor="text1"/>
          <w:sz w:val="18"/>
          <w:highlight w:val="non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669"/>
        <w:gridCol w:w="162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25" w:type="dxa"/>
            <w:tcBorders>
              <w:top w:val="single" w:color="auto" w:sz="4" w:space="0"/>
              <w:left w:val="single" w:color="auto" w:sz="4" w:space="0"/>
              <w:bottom w:val="single" w:color="auto" w:sz="4" w:space="0"/>
            </w:tcBorders>
          </w:tcPr>
          <w:p>
            <w:pPr>
              <w:spacing w:line="440" w:lineRule="exact"/>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姓名</w:t>
            </w:r>
          </w:p>
        </w:tc>
        <w:tc>
          <w:tcPr>
            <w:tcW w:w="2669" w:type="dxa"/>
            <w:tcBorders>
              <w:top w:val="single" w:color="auto" w:sz="4" w:space="0"/>
              <w:bottom w:val="single" w:color="auto" w:sz="4" w:space="0"/>
            </w:tcBorders>
          </w:tcPr>
          <w:p>
            <w:pPr>
              <w:spacing w:line="440" w:lineRule="exact"/>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职位</w:t>
            </w:r>
          </w:p>
        </w:tc>
        <w:tc>
          <w:tcPr>
            <w:tcW w:w="1620" w:type="dxa"/>
            <w:tcBorders>
              <w:top w:val="single" w:color="auto" w:sz="4" w:space="0"/>
              <w:bottom w:val="single" w:color="auto" w:sz="4" w:space="0"/>
            </w:tcBorders>
            <w:vAlign w:val="center"/>
          </w:tcPr>
          <w:p>
            <w:pPr>
              <w:spacing w:line="440" w:lineRule="exact"/>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学历</w:t>
            </w:r>
          </w:p>
        </w:tc>
        <w:tc>
          <w:tcPr>
            <w:tcW w:w="2967" w:type="dxa"/>
            <w:tcBorders>
              <w:top w:val="single" w:color="auto" w:sz="4" w:space="0"/>
              <w:bottom w:val="single" w:color="auto" w:sz="4" w:space="0"/>
              <w:right w:val="single" w:color="auto" w:sz="4" w:space="0"/>
            </w:tcBorders>
          </w:tcPr>
          <w:p>
            <w:pPr>
              <w:spacing w:line="440" w:lineRule="exact"/>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op w:val="nil"/>
            </w:tcBorders>
          </w:tcPr>
          <w:p>
            <w:pPr>
              <w:spacing w:line="440" w:lineRule="exact"/>
              <w:rPr>
                <w:color w:val="000000" w:themeColor="text1"/>
                <w:sz w:val="24"/>
                <w:highlight w:val="none"/>
                <w14:textFill>
                  <w14:solidFill>
                    <w14:schemeClr w14:val="tx1"/>
                  </w14:solidFill>
                </w14:textFill>
              </w:rPr>
            </w:pPr>
          </w:p>
        </w:tc>
        <w:tc>
          <w:tcPr>
            <w:tcW w:w="2669" w:type="dxa"/>
            <w:tcBorders>
              <w:top w:val="nil"/>
            </w:tcBorders>
          </w:tcPr>
          <w:p>
            <w:pPr>
              <w:spacing w:line="440" w:lineRule="exact"/>
              <w:rPr>
                <w:color w:val="000000" w:themeColor="text1"/>
                <w:sz w:val="24"/>
                <w:highlight w:val="none"/>
                <w14:textFill>
                  <w14:solidFill>
                    <w14:schemeClr w14:val="tx1"/>
                  </w14:solidFill>
                </w14:textFill>
              </w:rPr>
            </w:pPr>
          </w:p>
        </w:tc>
        <w:tc>
          <w:tcPr>
            <w:tcW w:w="1620" w:type="dxa"/>
            <w:tcBorders>
              <w:top w:val="nil"/>
            </w:tcBorders>
            <w:vAlign w:val="center"/>
          </w:tcPr>
          <w:p>
            <w:pPr>
              <w:spacing w:line="440" w:lineRule="exact"/>
              <w:jc w:val="center"/>
              <w:rPr>
                <w:color w:val="000000" w:themeColor="text1"/>
                <w:sz w:val="24"/>
                <w:highlight w:val="none"/>
                <w14:textFill>
                  <w14:solidFill>
                    <w14:schemeClr w14:val="tx1"/>
                  </w14:solidFill>
                </w14:textFill>
              </w:rPr>
            </w:pPr>
          </w:p>
        </w:tc>
        <w:tc>
          <w:tcPr>
            <w:tcW w:w="2967" w:type="dxa"/>
            <w:tcBorders>
              <w:top w:val="nil"/>
            </w:tcBorders>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5" w:type="dxa"/>
          </w:tcPr>
          <w:p>
            <w:pPr>
              <w:spacing w:line="440" w:lineRule="exact"/>
              <w:rPr>
                <w:color w:val="000000" w:themeColor="text1"/>
                <w:sz w:val="24"/>
                <w:highlight w:val="none"/>
                <w14:textFill>
                  <w14:solidFill>
                    <w14:schemeClr w14:val="tx1"/>
                  </w14:solidFill>
                </w14:textFill>
              </w:rPr>
            </w:pPr>
          </w:p>
        </w:tc>
        <w:tc>
          <w:tcPr>
            <w:tcW w:w="2669" w:type="dxa"/>
          </w:tcPr>
          <w:p>
            <w:pPr>
              <w:spacing w:line="440" w:lineRule="exact"/>
              <w:rPr>
                <w:color w:val="000000" w:themeColor="text1"/>
                <w:sz w:val="24"/>
                <w:highlight w:val="none"/>
                <w14:textFill>
                  <w14:solidFill>
                    <w14:schemeClr w14:val="tx1"/>
                  </w14:solidFill>
                </w14:textFill>
              </w:rPr>
            </w:pPr>
          </w:p>
        </w:tc>
        <w:tc>
          <w:tcPr>
            <w:tcW w:w="1620" w:type="dxa"/>
            <w:vAlign w:val="center"/>
          </w:tcPr>
          <w:p>
            <w:pPr>
              <w:spacing w:line="440" w:lineRule="exact"/>
              <w:jc w:val="center"/>
              <w:rPr>
                <w:color w:val="000000" w:themeColor="text1"/>
                <w:sz w:val="24"/>
                <w:highlight w:val="none"/>
                <w14:textFill>
                  <w14:solidFill>
                    <w14:schemeClr w14:val="tx1"/>
                  </w14:solidFill>
                </w14:textFill>
              </w:rPr>
            </w:pPr>
          </w:p>
        </w:tc>
        <w:tc>
          <w:tcPr>
            <w:tcW w:w="2967" w:type="dxa"/>
          </w:tcPr>
          <w:p>
            <w:pPr>
              <w:spacing w:line="440" w:lineRule="exact"/>
              <w:rPr>
                <w:color w:val="000000" w:themeColor="text1"/>
                <w:sz w:val="24"/>
                <w:highlight w:val="none"/>
                <w14:textFill>
                  <w14:solidFill>
                    <w14:schemeClr w14:val="tx1"/>
                  </w14:solidFill>
                </w14:textFill>
              </w:rPr>
            </w:pPr>
          </w:p>
        </w:tc>
      </w:tr>
    </w:tbl>
    <w:p>
      <w:pPr>
        <w:spacing w:after="120" w:line="440" w:lineRule="exac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注：列出所有参加本项目专业人员名单及在本项目中所承担职位和工作。</w:t>
      </w:r>
    </w:p>
    <w:p>
      <w:pPr>
        <w:spacing w:after="120" w:line="440" w:lineRule="exact"/>
        <w:rPr>
          <w:b/>
          <w:bCs/>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after="120" w:line="440" w:lineRule="exact"/>
        <w:rPr>
          <w:b/>
          <w:bCs/>
          <w:color w:val="000000" w:themeColor="text1"/>
          <w:sz w:val="24"/>
          <w:highlight w:val="none"/>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7" w:h="16840"/>
          <w:pgMar w:top="1440" w:right="1797" w:bottom="1440" w:left="1797" w:header="851" w:footer="992" w:gutter="0"/>
          <w:cols w:space="425" w:num="1"/>
          <w:titlePg/>
          <w:docGrid w:type="lines" w:linePitch="312" w:charSpace="0"/>
        </w:sect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8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-4</w:t>
      </w:r>
    </w:p>
    <w:p>
      <w:pPr>
        <w:spacing w:line="480" w:lineRule="auto"/>
        <w:jc w:val="center"/>
        <w:rPr>
          <w:b/>
          <w:color w:val="000000" w:themeColor="text1"/>
          <w:sz w:val="30"/>
          <w:highlight w:val="none"/>
          <w14:textFill>
            <w14:solidFill>
              <w14:schemeClr w14:val="tx1"/>
            </w14:solidFill>
          </w14:textFill>
        </w:rPr>
      </w:pPr>
      <w:r>
        <w:rPr>
          <w:b/>
          <w:color w:val="000000" w:themeColor="text1"/>
          <w:sz w:val="24"/>
          <w:highlight w:val="none"/>
          <w14:textFill>
            <w14:solidFill>
              <w14:schemeClr w14:val="tx1"/>
            </w14:solidFill>
          </w14:textFill>
        </w:rPr>
        <w:t>专业人员简历格式</w:t>
      </w:r>
    </w:p>
    <w:p>
      <w:pPr>
        <w:spacing w:after="120"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建议职位：</w:t>
      </w:r>
      <w:r>
        <w:rPr>
          <w:color w:val="000000" w:themeColor="text1"/>
          <w:sz w:val="24"/>
          <w:highlight w:val="none"/>
          <w:u w:val="single"/>
          <w14:textFill>
            <w14:solidFill>
              <w14:schemeClr w14:val="tx1"/>
            </w14:solidFill>
          </w14:textFill>
        </w:rPr>
        <w:t xml:space="preserve">                                          </w:t>
      </w:r>
    </w:p>
    <w:p>
      <w:pPr>
        <w:spacing w:after="120"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公司名称：</w:t>
      </w:r>
      <w:r>
        <w:rPr>
          <w:color w:val="000000" w:themeColor="text1"/>
          <w:sz w:val="24"/>
          <w:highlight w:val="none"/>
          <w:u w:val="single"/>
          <w14:textFill>
            <w14:solidFill>
              <w14:schemeClr w14:val="tx1"/>
            </w14:solidFill>
          </w14:textFill>
        </w:rPr>
        <w:t xml:space="preserve">                                          </w:t>
      </w:r>
    </w:p>
    <w:p>
      <w:pPr>
        <w:spacing w:after="120" w:line="44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人员姓名：</w:t>
      </w:r>
      <w:r>
        <w:rPr>
          <w:color w:val="000000" w:themeColor="text1"/>
          <w:sz w:val="24"/>
          <w:highlight w:val="none"/>
          <w:u w:val="single"/>
          <w14:textFill>
            <w14:solidFill>
              <w14:schemeClr w14:val="tx1"/>
            </w14:solidFill>
          </w14:textFill>
        </w:rPr>
        <w:t xml:space="preserve">                                          </w:t>
      </w:r>
    </w:p>
    <w:p>
      <w:pPr>
        <w:spacing w:after="120"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学历：</w:t>
      </w:r>
      <w:r>
        <w:rPr>
          <w:color w:val="000000" w:themeColor="text1"/>
          <w:sz w:val="24"/>
          <w:highlight w:val="none"/>
          <w:u w:val="single"/>
          <w14:textFill>
            <w14:solidFill>
              <w14:schemeClr w14:val="tx1"/>
            </w14:solidFill>
          </w14:textFill>
        </w:rPr>
        <w:t xml:space="preserve">                                     　        </w:t>
      </w:r>
    </w:p>
    <w:p>
      <w:pPr>
        <w:spacing w:after="120"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专业：</w:t>
      </w:r>
      <w:r>
        <w:rPr>
          <w:color w:val="000000" w:themeColor="text1"/>
          <w:sz w:val="24"/>
          <w:highlight w:val="none"/>
          <w:u w:val="single"/>
          <w14:textFill>
            <w14:solidFill>
              <w14:schemeClr w14:val="tx1"/>
            </w14:solidFill>
          </w14:textFill>
        </w:rPr>
        <w:t xml:space="preserve">                                     　        </w:t>
      </w:r>
    </w:p>
    <w:p>
      <w:pPr>
        <w:spacing w:after="120"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出生日期：</w:t>
      </w:r>
      <w:r>
        <w:rPr>
          <w:color w:val="000000" w:themeColor="text1"/>
          <w:sz w:val="24"/>
          <w:highlight w:val="none"/>
          <w:u w:val="single"/>
          <w14:textFill>
            <w14:solidFill>
              <w14:schemeClr w14:val="tx1"/>
            </w14:solidFill>
          </w14:textFill>
        </w:rPr>
        <w:t xml:space="preserve">                                   　      </w:t>
      </w:r>
    </w:p>
    <w:p>
      <w:pPr>
        <w:spacing w:after="120"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在此公司工作年限：</w:t>
      </w:r>
      <w:r>
        <w:rPr>
          <w:color w:val="000000" w:themeColor="text1"/>
          <w:sz w:val="24"/>
          <w:highlight w:val="none"/>
          <w:u w:val="single"/>
          <w14:textFill>
            <w14:solidFill>
              <w14:schemeClr w14:val="tx1"/>
            </w14:solidFill>
          </w14:textFill>
        </w:rPr>
        <w:t xml:space="preserve">         　　 　　　　　　　　　　</w:t>
      </w:r>
    </w:p>
    <w:p>
      <w:pPr>
        <w:spacing w:after="120" w:line="44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关键资格条件：</w:t>
      </w:r>
    </w:p>
    <w:p>
      <w:pPr>
        <w:pStyle w:val="2"/>
        <w:pBdr>
          <w:bottom w:val="single" w:color="auto" w:sz="6" w:space="1"/>
        </w:pBdr>
        <w:rPr>
          <w:b/>
          <w:i/>
          <w:color w:val="000000" w:themeColor="text1"/>
          <w:sz w:val="24"/>
          <w:highlight w:val="none"/>
          <w14:textFill>
            <w14:solidFill>
              <w14:schemeClr w14:val="tx1"/>
            </w14:solidFill>
          </w14:textFill>
        </w:rPr>
      </w:pPr>
      <w:r>
        <w:rPr>
          <w:b/>
          <w:i/>
          <w:color w:val="000000" w:themeColor="text1"/>
          <w:sz w:val="24"/>
          <w:highlight w:val="none"/>
          <w14:textFill>
            <w14:solidFill>
              <w14:schemeClr w14:val="tx1"/>
            </w14:solidFill>
          </w14:textFill>
        </w:rPr>
        <w:t>（概述此人员与本任务最相关的经验和培训情况以及所获与本项目内容相关的资格证书，描述其在以前的有关任务中承担的责任度，给出日期和地点。）</w:t>
      </w:r>
    </w:p>
    <w:p>
      <w:pPr>
        <w:pStyle w:val="2"/>
        <w:pBdr>
          <w:bottom w:val="single" w:color="auto" w:sz="6" w:space="1"/>
        </w:pBdr>
        <w:rPr>
          <w:i/>
          <w:color w:val="000000" w:themeColor="text1"/>
          <w:sz w:val="24"/>
          <w:highlight w:val="none"/>
          <w14:textFill>
            <w14:solidFill>
              <w14:schemeClr w14:val="tx1"/>
            </w14:solidFill>
          </w14:textFill>
        </w:rPr>
      </w:pPr>
    </w:p>
    <w:p>
      <w:pPr>
        <w:spacing w:after="120" w:line="44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教育：</w:t>
      </w:r>
    </w:p>
    <w:p>
      <w:pPr>
        <w:spacing w:after="120" w:line="440" w:lineRule="exact"/>
        <w:rPr>
          <w:i/>
          <w:color w:val="000000" w:themeColor="text1"/>
          <w:sz w:val="24"/>
          <w:highlight w:val="none"/>
          <w14:textFill>
            <w14:solidFill>
              <w14:schemeClr w14:val="tx1"/>
            </w14:solidFill>
          </w14:textFill>
        </w:rPr>
      </w:pPr>
      <w:r>
        <w:rPr>
          <w:i/>
          <w:color w:val="000000" w:themeColor="text1"/>
          <w:sz w:val="24"/>
          <w:highlight w:val="none"/>
          <w14:textFill>
            <w14:solidFill>
              <w14:schemeClr w14:val="tx1"/>
            </w14:solidFill>
          </w14:textFill>
        </w:rPr>
        <w:t>（概述此人员的大学和其他专业化教育和培训情况，给出学校的名称、入学日期、所获学位。）</w:t>
      </w:r>
    </w:p>
    <w:p>
      <w:pPr>
        <w:spacing w:after="120" w:line="3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所获证书：</w:t>
      </w:r>
    </w:p>
    <w:p>
      <w:pPr>
        <w:spacing w:after="120" w:line="360" w:lineRule="exact"/>
        <w:rPr>
          <w:i/>
          <w:color w:val="000000" w:themeColor="text1"/>
          <w:sz w:val="24"/>
          <w:highlight w:val="none"/>
          <w14:textFill>
            <w14:solidFill>
              <w14:schemeClr w14:val="tx1"/>
            </w14:solidFill>
          </w14:textFill>
        </w:rPr>
      </w:pPr>
      <w:r>
        <w:rPr>
          <w:i/>
          <w:color w:val="000000" w:themeColor="text1"/>
          <w:sz w:val="24"/>
          <w:highlight w:val="none"/>
          <w14:textFill>
            <w14:solidFill>
              <w14:schemeClr w14:val="tx1"/>
            </w14:solidFill>
          </w14:textFill>
        </w:rPr>
        <w:t>（提供此人与本项目相关的证书扫描件）</w:t>
      </w:r>
    </w:p>
    <w:p>
      <w:pPr>
        <w:pBdr>
          <w:bottom w:val="single" w:color="auto" w:sz="6" w:space="1"/>
        </w:pBdr>
        <w:spacing w:after="120" w:line="360" w:lineRule="exact"/>
        <w:rPr>
          <w:color w:val="000000" w:themeColor="text1"/>
          <w:sz w:val="24"/>
          <w:highlight w:val="none"/>
          <w14:textFill>
            <w14:solidFill>
              <w14:schemeClr w14:val="tx1"/>
            </w14:solidFill>
          </w14:textFill>
        </w:rPr>
      </w:pPr>
    </w:p>
    <w:p>
      <w:pPr>
        <w:spacing w:after="120" w:line="3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工作简历：</w:t>
      </w:r>
    </w:p>
    <w:p>
      <w:pPr>
        <w:pStyle w:val="14"/>
        <w:spacing w:line="3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（从现任职位开始，倒叙列出自毕业后所任所有职务、日期、受雇单位名称、职位头衔、任务地点。近五年的经验应给出从事活动的类型和适当的用户信息。）</w:t>
      </w:r>
    </w:p>
    <w:p>
      <w:pPr>
        <w:pBdr>
          <w:bottom w:val="single" w:color="auto" w:sz="6" w:space="1"/>
        </w:pBdr>
        <w:spacing w:after="120" w:line="440" w:lineRule="exact"/>
        <w:rPr>
          <w:color w:val="000000" w:themeColor="text1"/>
          <w:sz w:val="24"/>
          <w:highlight w:val="none"/>
          <w14:textFill>
            <w14:solidFill>
              <w14:schemeClr w14:val="tx1"/>
            </w14:solidFill>
          </w14:textFill>
        </w:rPr>
      </w:pPr>
    </w:p>
    <w:p>
      <w:pPr>
        <w:spacing w:after="120" w:line="440" w:lineRule="exact"/>
        <w:rPr>
          <w:b/>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after="120" w:line="44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rPr>
          <w:color w:val="000000" w:themeColor="text1"/>
          <w:highlight w:val="none"/>
          <w14:textFill>
            <w14:solidFill>
              <w14:schemeClr w14:val="tx1"/>
            </w14:solidFill>
          </w14:textFill>
        </w:rPr>
      </w:pPr>
      <w:r>
        <w:rPr>
          <w:b/>
          <w:bCs/>
          <w:color w:val="000000" w:themeColor="text1"/>
          <w:sz w:val="24"/>
          <w:highlight w:val="none"/>
          <w14:textFill>
            <w14:solidFill>
              <w14:schemeClr w14:val="tx1"/>
            </w14:solidFill>
          </w14:textFill>
        </w:rPr>
        <w:t>注：所建议的关键专业人员均需填写此表。</w:t>
      </w:r>
    </w:p>
    <w:p>
      <w:pPr>
        <w:spacing w:line="48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-5</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560" w:lineRule="exact"/>
        <w:jc w:val="center"/>
        <w:rPr>
          <w:b/>
          <w:color w:val="000000" w:themeColor="text1"/>
          <w:sz w:val="24"/>
          <w:highlight w:val="none"/>
          <w14:textFill>
            <w14:solidFill>
              <w14:schemeClr w14:val="tx1"/>
            </w14:solidFill>
          </w14:textFill>
        </w:rPr>
      </w:pPr>
    </w:p>
    <w:tbl>
      <w:tblPr>
        <w:tblStyle w:val="17"/>
        <w:tblW w:w="0" w:type="auto"/>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61"/>
        <w:gridCol w:w="1356"/>
        <w:gridCol w:w="1356"/>
        <w:gridCol w:w="1217"/>
        <w:gridCol w:w="1596"/>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2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3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3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项目实施地点</w:t>
            </w:r>
          </w:p>
        </w:tc>
        <w:tc>
          <w:tcPr>
            <w:tcW w:w="12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联系人及联系方式</w:t>
            </w:r>
          </w:p>
        </w:tc>
        <w:tc>
          <w:tcPr>
            <w:tcW w:w="15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开始日期—</w:t>
            </w:r>
          </w:p>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完工日期</w:t>
            </w:r>
          </w:p>
        </w:tc>
        <w:tc>
          <w:tcPr>
            <w:tcW w:w="9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color w:val="000000" w:themeColor="text1"/>
                <w:sz w:val="24"/>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217"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596"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pacing w:line="560" w:lineRule="exact"/>
              <w:jc w:val="center"/>
              <w:rPr>
                <w:b/>
                <w:color w:val="000000" w:themeColor="text1"/>
                <w:sz w:val="24"/>
                <w:highlight w:val="none"/>
                <w14:textFill>
                  <w14:solidFill>
                    <w14:schemeClr w14:val="tx1"/>
                  </w14:solidFill>
                </w14:textFill>
              </w:rPr>
            </w:pPr>
          </w:p>
        </w:tc>
      </w:tr>
    </w:tbl>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备注：投标人所列业绩应按第二部分的要求将证明材料按顺序附后。</w:t>
      </w:r>
    </w:p>
    <w:p>
      <w:pPr>
        <w:spacing w:line="560" w:lineRule="exact"/>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附件5：评分因素中要求的各项方案、证明材料等</w:t>
      </w:r>
    </w:p>
    <w:p>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附件6-1</w:t>
      </w:r>
    </w:p>
    <w:p>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color w:val="000000" w:themeColor="text1"/>
          <w:sz w:val="24"/>
          <w:szCs w:val="24"/>
          <w:highlight w:val="none"/>
          <w:u w:val="single"/>
          <w14:textFill>
            <w14:solidFill>
              <w14:schemeClr w14:val="tx1"/>
            </w14:solidFill>
          </w14:textFill>
        </w:rPr>
        <w:t>天津市生态环境科学研究院工业园区绿色低碳智能化分析及管理平台建设项目</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工业园区绿色低碳智能化分析及管理平台建设</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软件和信息技术服务业</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pPr>
        <w:spacing w:line="360" w:lineRule="auto"/>
        <w:ind w:right="84" w:firstLine="241" w:firstLineChars="100"/>
        <w:rPr>
          <w:color w:val="000000" w:themeColor="text1"/>
          <w:sz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r>
        <w:rPr>
          <w:color w:val="000000" w:themeColor="text1"/>
          <w:sz w:val="24"/>
          <w:highlight w:val="none"/>
          <w14:textFill>
            <w14:solidFill>
              <w14:schemeClr w14:val="tx1"/>
            </w14:solidFill>
          </w14:textFill>
        </w:rPr>
        <w:br w:type="page"/>
      </w:r>
    </w:p>
    <w:p>
      <w:pPr>
        <w:autoSpaceDN w:val="0"/>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附件6-2</w:t>
      </w:r>
    </w:p>
    <w:p>
      <w:pPr>
        <w:autoSpaceDN w:val="0"/>
        <w:spacing w:line="360" w:lineRule="auto"/>
        <w:jc w:val="left"/>
        <w:rPr>
          <w:b/>
          <w:bCs/>
          <w:color w:val="000000" w:themeColor="text1"/>
          <w:sz w:val="24"/>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pPr>
        <w:autoSpaceDN w:val="0"/>
        <w:spacing w:line="360" w:lineRule="auto"/>
        <w:jc w:val="center"/>
        <w:rPr>
          <w:b/>
          <w:bCs/>
          <w:color w:val="000000" w:themeColor="text1"/>
          <w:sz w:val="24"/>
          <w:highlight w:val="none"/>
          <w14:textFill>
            <w14:solidFill>
              <w14:schemeClr w14:val="tx1"/>
            </w14:solidFill>
          </w14:textFill>
        </w:rPr>
      </w:pPr>
    </w:p>
    <w:p>
      <w:pPr>
        <w:snapToGrid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残疾人福利性单位声明函</w:t>
      </w:r>
    </w:p>
    <w:p>
      <w:pPr>
        <w:snapToGrid w:val="0"/>
        <w:spacing w:line="360" w:lineRule="auto"/>
        <w:ind w:firstLine="482" w:firstLineChars="200"/>
        <w:jc w:val="left"/>
        <w:rPr>
          <w:b/>
          <w:bCs/>
          <w:color w:val="000000" w:themeColor="text1"/>
          <w:sz w:val="24"/>
          <w:highlight w:val="none"/>
          <w14:textFill>
            <w14:solidFill>
              <w14:schemeClr w14:val="tx1"/>
            </w14:solidFill>
          </w14:textFill>
        </w:rPr>
      </w:pPr>
    </w:p>
    <w:p>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本单位对上述声明的真实性负责。如有虚假，将依法承担相应责任。</w:t>
      </w:r>
    </w:p>
    <w:p>
      <w:pPr>
        <w:snapToGrid w:val="0"/>
        <w:spacing w:line="360" w:lineRule="auto"/>
        <w:ind w:firstLine="480" w:firstLineChars="200"/>
        <w:jc w:val="left"/>
        <w:rPr>
          <w:bCs/>
          <w:color w:val="000000" w:themeColor="text1"/>
          <w:sz w:val="24"/>
          <w:highlight w:val="none"/>
          <w14:textFill>
            <w14:solidFill>
              <w14:schemeClr w14:val="tx1"/>
            </w14:solidFill>
          </w14:textFill>
        </w:rPr>
      </w:pPr>
    </w:p>
    <w:p>
      <w:pPr>
        <w:snapToGrid w:val="0"/>
        <w:spacing w:line="360" w:lineRule="auto"/>
        <w:ind w:firstLine="480" w:firstLineChars="200"/>
        <w:jc w:val="left"/>
        <w:rPr>
          <w:bCs/>
          <w:color w:val="000000" w:themeColor="text1"/>
          <w:sz w:val="24"/>
          <w:highlight w:val="none"/>
          <w14:textFill>
            <w14:solidFill>
              <w14:schemeClr w14:val="tx1"/>
            </w14:solidFill>
          </w14:textFill>
        </w:rPr>
      </w:pPr>
    </w:p>
    <w:p>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pPr>
        <w:snapToGrid w:val="0"/>
        <w:spacing w:line="360" w:lineRule="auto"/>
        <w:ind w:firstLine="480" w:firstLineChars="200"/>
        <w:jc w:val="left"/>
        <w:rPr>
          <w:bCs/>
          <w:color w:val="000000" w:themeColor="text1"/>
          <w:sz w:val="24"/>
          <w:highlight w:val="none"/>
          <w14:textFill>
            <w14:solidFill>
              <w14:schemeClr w14:val="tx1"/>
            </w14:solidFill>
          </w14:textFill>
        </w:rPr>
      </w:pPr>
    </w:p>
    <w:p>
      <w:pPr>
        <w:snapToGrid w:val="0"/>
        <w:spacing w:line="360" w:lineRule="auto"/>
        <w:ind w:firstLine="480" w:firstLineChars="200"/>
        <w:jc w:val="left"/>
        <w:rPr>
          <w:color w:val="000000" w:themeColor="text1"/>
          <w:sz w:val="24"/>
          <w:szCs w:val="21"/>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日  期：</w:t>
      </w:r>
    </w:p>
    <w:p>
      <w:pPr>
        <w:snapToGrid w:val="0"/>
        <w:spacing w:line="360" w:lineRule="auto"/>
        <w:ind w:firstLine="480" w:firstLineChars="200"/>
        <w:jc w:val="left"/>
        <w:rPr>
          <w:color w:val="000000" w:themeColor="text1"/>
          <w:sz w:val="24"/>
          <w:szCs w:val="21"/>
          <w:highlight w:val="none"/>
          <w14:textFill>
            <w14:solidFill>
              <w14:schemeClr w14:val="tx1"/>
            </w14:solidFill>
          </w14:textFill>
        </w:rPr>
      </w:pPr>
    </w:p>
    <w:p>
      <w:pPr>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中标（成交）供应商为残疾人福利性单位的，将随中标（成交）结果同时公告其《残疾人福利性单位声明函》，接受社会监督。</w:t>
      </w:r>
    </w:p>
    <w:p>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pPr>
        <w:tabs>
          <w:tab w:val="left" w:pos="360"/>
        </w:tabs>
        <w:spacing w:line="360" w:lineRule="auto"/>
        <w:rPr>
          <w:b/>
          <w:color w:val="000000" w:themeColor="text1"/>
          <w:sz w:val="24"/>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24"/>
          <w:highlight w:val="none"/>
          <w14:textFill>
            <w14:solidFill>
              <w14:schemeClr w14:val="tx1"/>
            </w14:solidFill>
          </w14:textFill>
        </w:rPr>
        <w:t>附件7</w:t>
      </w:r>
    </w:p>
    <w:p>
      <w:pPr>
        <w:tabs>
          <w:tab w:val="left" w:pos="360"/>
        </w:tabs>
        <w:spacing w:line="360" w:lineRule="auto"/>
        <w:ind w:firstLine="482" w:firstLineChars="200"/>
        <w:rPr>
          <w:b/>
          <w:color w:val="000000" w:themeColor="text1"/>
          <w:sz w:val="24"/>
          <w:highlight w:val="none"/>
          <w14:textFill>
            <w14:solidFill>
              <w14:schemeClr w14:val="tx1"/>
            </w14:solidFill>
          </w14:textFill>
        </w:rPr>
      </w:pPr>
    </w:p>
    <w:p>
      <w:pPr>
        <w:tabs>
          <w:tab w:val="left" w:pos="360"/>
        </w:tabs>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书面声明</w:t>
      </w: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参加政府采购活动前3年</w:t>
      </w:r>
      <w:r>
        <w:rPr>
          <w:color w:val="000000" w:themeColor="text1"/>
          <w:sz w:val="24"/>
          <w:highlight w:val="none"/>
          <w:lang w:val="en-US" w:eastAsia="zh-CN"/>
          <w14:textFill>
            <w14:solidFill>
              <w14:schemeClr w14:val="tx1"/>
            </w14:solidFill>
          </w14:textFill>
        </w:rPr>
        <w:t>我单位</w:t>
      </w:r>
      <w:r>
        <w:rPr>
          <w:color w:val="000000" w:themeColor="text1"/>
          <w:sz w:val="24"/>
          <w:highlight w:val="none"/>
          <w14:textFill>
            <w14:solidFill>
              <w14:schemeClr w14:val="tx1"/>
            </w14:solidFill>
          </w14:textFill>
        </w:rPr>
        <w:t>在经营活动中没有重大违法记录。</w:t>
      </w: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r>
        <w:rPr>
          <w:color w:val="000000" w:themeColor="text1"/>
          <w:sz w:val="24"/>
          <w:highlight w:val="none"/>
          <w:lang w:eastAsia="zh-CN"/>
          <w14:textFill>
            <w14:solidFill>
              <w14:schemeClr w14:val="tx1"/>
            </w14:solidFill>
          </w14:textFill>
        </w:rPr>
        <w:t>我单位具备良好的商业信誉和健全的财务会计制度，依法缴纳税收和社会保障资金。</w:t>
      </w: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pStyle w:val="43"/>
        <w:tabs>
          <w:tab w:val="left" w:pos="360"/>
        </w:tabs>
        <w:spacing w:line="360" w:lineRule="auto"/>
        <w:ind w:firstLine="0" w:firstLineChars="0"/>
        <w:rPr>
          <w:color w:val="000000" w:themeColor="text1"/>
          <w:sz w:val="24"/>
          <w:highlight w:val="none"/>
          <w:u w:val="single"/>
          <w:lang w:eastAsia="zh-CN"/>
          <w14:textFill>
            <w14:solidFill>
              <w14:schemeClr w14:val="tx1"/>
            </w14:solidFill>
          </w14:textFill>
        </w:rPr>
      </w:pPr>
      <w:r>
        <w:rPr>
          <w:color w:val="000000" w:themeColor="text1"/>
          <w:sz w:val="24"/>
          <w:highlight w:val="none"/>
          <w:u w:val="single"/>
          <w:lang w:eastAsia="zh-CN"/>
          <w14:textFill>
            <w14:solidFill>
              <w14:schemeClr w14:val="tx1"/>
            </w14:solidFill>
          </w14:textFill>
        </w:rPr>
        <w:t xml:space="preserve">                                                                     </w:t>
      </w: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p>
    <w:p>
      <w:pPr>
        <w:pStyle w:val="43"/>
        <w:spacing w:line="360" w:lineRule="auto"/>
        <w:ind w:firstLine="0" w:firstLineChars="0"/>
        <w:jc w:val="center"/>
        <w:rPr>
          <w:b/>
          <w:color w:val="000000" w:themeColor="text1"/>
          <w:sz w:val="24"/>
          <w:highlight w:val="none"/>
          <w:lang w:eastAsia="zh-CN"/>
          <w14:textFill>
            <w14:solidFill>
              <w14:schemeClr w14:val="tx1"/>
            </w14:solidFill>
          </w14:textFill>
        </w:rPr>
      </w:pPr>
    </w:p>
    <w:p>
      <w:pPr>
        <w:pStyle w:val="43"/>
        <w:spacing w:line="360" w:lineRule="auto"/>
        <w:ind w:firstLine="0" w:firstLineChars="0"/>
        <w:jc w:val="center"/>
        <w:rPr>
          <w:b/>
          <w:color w:val="000000" w:themeColor="text1"/>
          <w:sz w:val="24"/>
          <w:highlight w:val="none"/>
          <w:lang w:eastAsia="zh-CN"/>
          <w14:textFill>
            <w14:solidFill>
              <w14:schemeClr w14:val="tx1"/>
            </w14:solidFill>
          </w14:textFill>
        </w:rPr>
      </w:pPr>
    </w:p>
    <w:p>
      <w:pPr>
        <w:pStyle w:val="43"/>
        <w:spacing w:line="360" w:lineRule="auto"/>
        <w:ind w:firstLine="0" w:firstLineChars="0"/>
        <w:jc w:val="center"/>
        <w:rPr>
          <w:b/>
          <w:color w:val="000000" w:themeColor="text1"/>
          <w:sz w:val="24"/>
          <w:highlight w:val="none"/>
          <w:lang w:eastAsia="zh-CN"/>
          <w14:textFill>
            <w14:solidFill>
              <w14:schemeClr w14:val="tx1"/>
            </w14:solidFill>
          </w14:textFill>
        </w:rPr>
      </w:pPr>
      <w:r>
        <w:rPr>
          <w:b/>
          <w:color w:val="000000" w:themeColor="text1"/>
          <w:sz w:val="24"/>
          <w:highlight w:val="none"/>
          <w:lang w:eastAsia="zh-CN"/>
          <w14:textFill>
            <w14:solidFill>
              <w14:schemeClr w14:val="tx1"/>
            </w14:solidFill>
          </w14:textFill>
        </w:rPr>
        <w:t>证明材料</w:t>
      </w: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r>
        <w:rPr>
          <w:color w:val="000000" w:themeColor="text1"/>
          <w:sz w:val="24"/>
          <w:highlight w:val="none"/>
          <w:lang w:eastAsia="zh-CN"/>
          <w14:textFill>
            <w14:solidFill>
              <w14:schemeClr w14:val="tx1"/>
            </w14:solidFill>
          </w14:textFill>
        </w:rPr>
        <w:t>我单位具备履行本项目合同所必需的设备和专业技术能力。</w:t>
      </w: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p>
    <w:p>
      <w:pPr>
        <w:pStyle w:val="43"/>
        <w:tabs>
          <w:tab w:val="left" w:pos="360"/>
        </w:tabs>
        <w:spacing w:line="360" w:lineRule="auto"/>
        <w:ind w:firstLine="480"/>
        <w:rPr>
          <w:color w:val="000000" w:themeColor="text1"/>
          <w:sz w:val="24"/>
          <w:highlight w:val="none"/>
          <w:lang w:eastAsia="zh-CN"/>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620" w:lineRule="exact"/>
        <w:rPr>
          <w:color w:val="000000" w:themeColor="text1"/>
          <w:szCs w:val="21"/>
          <w:highlight w:val="none"/>
          <w14:textFill>
            <w14:solidFill>
              <w14:schemeClr w14:val="tx1"/>
            </w14:solidFill>
          </w14:textFill>
        </w:rPr>
      </w:pPr>
      <w:r>
        <w:rPr>
          <w:b/>
          <w:color w:val="000000" w:themeColor="text1"/>
          <w:sz w:val="24"/>
          <w:szCs w:val="24"/>
          <w:highlight w:val="none"/>
          <w14:textFill>
            <w14:solidFill>
              <w14:schemeClr w14:val="tx1"/>
            </w14:solidFill>
          </w14:textFill>
        </w:rPr>
        <w:t>附件8：投标人认为需要提交的其他资料</w:t>
      </w:r>
    </w:p>
    <w:p>
      <w:pPr>
        <w:spacing w:line="460" w:lineRule="exact"/>
        <w:ind w:left="192"/>
        <w:rPr>
          <w:b/>
          <w:color w:val="000000" w:themeColor="text1"/>
          <w:sz w:val="24"/>
          <w:highlight w:val="none"/>
          <w14:textFill>
            <w14:solidFill>
              <w14:schemeClr w14:val="tx1"/>
            </w14:solidFill>
          </w14:textFill>
        </w:rPr>
      </w:pPr>
    </w:p>
    <w:p>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autoSpaceDE w:val="0"/>
        <w:autoSpaceDN w:val="0"/>
        <w:adjustRightInd w:val="0"/>
        <w:jc w:val="center"/>
        <w:rPr>
          <w:color w:val="000000" w:themeColor="text1"/>
          <w:sz w:val="24"/>
          <w:highlight w:val="none"/>
          <w14:textFill>
            <w14:solidFill>
              <w14:schemeClr w14:val="tx1"/>
            </w14:solidFill>
          </w14:textFill>
        </w:rPr>
      </w:pPr>
    </w:p>
    <w:p>
      <w:pPr>
        <w:autoSpaceDE w:val="0"/>
        <w:autoSpaceDN w:val="0"/>
        <w:adjustRightInd w:val="0"/>
        <w:jc w:val="center"/>
        <w:rPr>
          <w:color w:val="000000" w:themeColor="text1"/>
          <w:sz w:val="24"/>
          <w:highlight w:val="none"/>
          <w14:textFill>
            <w14:solidFill>
              <w14:schemeClr w14:val="tx1"/>
            </w14:solidFill>
          </w14:textFill>
        </w:rPr>
      </w:pPr>
    </w:p>
    <w:p>
      <w:pPr>
        <w:autoSpaceDE w:val="0"/>
        <w:autoSpaceDN w:val="0"/>
        <w:adjustRightInd w:val="0"/>
        <w:jc w:val="center"/>
        <w:rPr>
          <w:color w:val="000000" w:themeColor="text1"/>
          <w:sz w:val="24"/>
          <w:highlight w:val="none"/>
          <w14:textFill>
            <w14:solidFill>
              <w14:schemeClr w14:val="tx1"/>
            </w14:solidFill>
          </w14:textFill>
        </w:rPr>
      </w:pPr>
    </w:p>
    <w:p>
      <w:pPr>
        <w:autoSpaceDE w:val="0"/>
        <w:autoSpaceDN w:val="0"/>
        <w:adjustRightInd w:val="0"/>
        <w:jc w:val="center"/>
        <w:rPr>
          <w:color w:val="000000" w:themeColor="text1"/>
          <w:sz w:val="24"/>
          <w:highlight w:val="none"/>
          <w14:textFill>
            <w14:solidFill>
              <w14:schemeClr w14:val="tx1"/>
            </w14:solidFill>
          </w14:textFill>
        </w:rPr>
      </w:pPr>
    </w:p>
    <w:p>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第二阶段响应文件</w:t>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磋商代表人姓名：</w:t>
      </w: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pPr>
        <w:spacing w:before="93" w:beforeLines="30" w:after="218" w:afterLines="70" w:line="540" w:lineRule="exact"/>
        <w:ind w:left="630" w:leftChars="300"/>
        <w:rPr>
          <w:b/>
          <w:color w:val="000000" w:themeColor="text1"/>
          <w:kern w:val="0"/>
          <w:sz w:val="2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pPr>
        <w:tabs>
          <w:tab w:val="left" w:pos="360"/>
        </w:tabs>
        <w:spacing w:line="4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职务）经正式授权并代表投标人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（投标人名称、地址）提交网上应答及上传加盖电子签章的响应文件。</w:t>
      </w:r>
    </w:p>
    <w:p>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所附报价表中规定的应提供服务价格为</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第二包：</w:t>
      </w:r>
    </w:p>
    <w:p>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投标人已经对全部价格进行了认真核对，保证本报价真实、准确无误，并承担本价格所对应本项目的一切责任和义务。</w:t>
      </w:r>
    </w:p>
    <w:p>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两个阶段响应文件一一对应、不可分割，共同构成我方对本项目的所有承诺。</w:t>
      </w:r>
    </w:p>
    <w:p>
      <w:pPr>
        <w:spacing w:line="460" w:lineRule="exact"/>
        <w:ind w:firstLine="471"/>
        <w:rPr>
          <w:color w:val="000000" w:themeColor="text1"/>
          <w:sz w:val="24"/>
          <w:highlight w:val="none"/>
          <w14:textFill>
            <w14:solidFill>
              <w14:schemeClr w14:val="tx1"/>
            </w14:solidFill>
          </w14:textFill>
        </w:rPr>
      </w:pPr>
    </w:p>
    <w:p>
      <w:pPr>
        <w:spacing w:line="460" w:lineRule="exact"/>
        <w:ind w:firstLine="471"/>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p>
    <w:p>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ind w:firstLine="471"/>
        <w:rPr>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报价分项一览表</w:t>
      </w:r>
    </w:p>
    <w:p>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1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项号</w:t>
            </w:r>
          </w:p>
        </w:tc>
        <w:tc>
          <w:tcPr>
            <w:tcW w:w="2349" w:type="dxa"/>
            <w:vAlign w:val="center"/>
          </w:tcPr>
          <w:p>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服务名称</w:t>
            </w:r>
          </w:p>
        </w:tc>
        <w:tc>
          <w:tcPr>
            <w:tcW w:w="1701" w:type="dxa"/>
            <w:vAlign w:val="center"/>
          </w:tcPr>
          <w:p>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总价</w:t>
            </w:r>
          </w:p>
        </w:tc>
        <w:tc>
          <w:tcPr>
            <w:tcW w:w="2238" w:type="dxa"/>
            <w:vAlign w:val="center"/>
          </w:tcPr>
          <w:p>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数量</w:t>
            </w:r>
          </w:p>
        </w:tc>
        <w:tc>
          <w:tcPr>
            <w:tcW w:w="1848" w:type="dxa"/>
            <w:vAlign w:val="center"/>
          </w:tcPr>
          <w:p>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2349" w:type="dxa"/>
            <w:vAlign w:val="center"/>
          </w:tcPr>
          <w:p>
            <w:pPr>
              <w:widowControl/>
              <w:jc w:val="center"/>
              <w:rPr>
                <w:color w:val="000000" w:themeColor="text1"/>
                <w:kern w:val="0"/>
                <w:sz w:val="24"/>
                <w:szCs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1项</w:t>
            </w:r>
          </w:p>
        </w:tc>
        <w:tc>
          <w:tcPr>
            <w:tcW w:w="1848" w:type="dxa"/>
            <w:vAlign w:val="center"/>
          </w:tcPr>
          <w:p>
            <w:pPr>
              <w:widowControl/>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pPr>
              <w:widowControl/>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分项名称</w:t>
            </w:r>
          </w:p>
        </w:tc>
        <w:tc>
          <w:tcPr>
            <w:tcW w:w="1701" w:type="dxa"/>
            <w:vAlign w:val="center"/>
          </w:tcPr>
          <w:p>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价格</w:t>
            </w:r>
          </w:p>
        </w:tc>
        <w:tc>
          <w:tcPr>
            <w:tcW w:w="2238" w:type="dxa"/>
            <w:vAlign w:val="center"/>
          </w:tcPr>
          <w:p>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数量</w:t>
            </w:r>
          </w:p>
        </w:tc>
        <w:tc>
          <w:tcPr>
            <w:tcW w:w="1848" w:type="dxa"/>
            <w:vAlign w:val="center"/>
          </w:tcPr>
          <w:p>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kern w:val="0"/>
                <w:sz w:val="24"/>
                <w:szCs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kern w:val="0"/>
                <w:sz w:val="24"/>
                <w:szCs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kern w:val="0"/>
                <w:sz w:val="24"/>
                <w:szCs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sz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sz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ind w:firstLine="9" w:firstLineChars="4"/>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ind w:firstLine="9" w:firstLineChars="4"/>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kern w:val="0"/>
                <w:sz w:val="24"/>
                <w:szCs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kern w:val="0"/>
                <w:sz w:val="24"/>
                <w:szCs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sz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left"/>
              <w:rPr>
                <w:color w:val="000000" w:themeColor="text1"/>
                <w:sz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jc w:val="center"/>
              <w:rPr>
                <w:color w:val="000000" w:themeColor="text1"/>
                <w:sz w:val="24"/>
                <w:highlight w:val="none"/>
                <w14:textFill>
                  <w14:solidFill>
                    <w14:schemeClr w14:val="tx1"/>
                  </w14:solidFill>
                </w14:textFill>
              </w:rPr>
            </w:pPr>
          </w:p>
        </w:tc>
        <w:tc>
          <w:tcPr>
            <w:tcW w:w="1701" w:type="dxa"/>
            <w:vAlign w:val="center"/>
          </w:tcPr>
          <w:p>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pPr>
              <w:widowControl/>
              <w:jc w:val="center"/>
              <w:rPr>
                <w:color w:val="000000" w:themeColor="text1"/>
                <w:kern w:val="0"/>
                <w:sz w:val="24"/>
                <w:szCs w:val="24"/>
                <w:highlight w:val="none"/>
                <w14:textFill>
                  <w14:solidFill>
                    <w14:schemeClr w14:val="tx1"/>
                  </w14:solidFill>
                </w14:textFill>
              </w:rPr>
            </w:pPr>
          </w:p>
        </w:tc>
      </w:tr>
    </w:tbl>
    <w:p>
      <w:pPr>
        <w:ind w:left="180"/>
        <w:rPr>
          <w:color w:val="000000" w:themeColor="text1"/>
          <w:sz w:val="22"/>
          <w:szCs w:val="24"/>
          <w:highlight w:val="none"/>
          <w14:textFill>
            <w14:solidFill>
              <w14:schemeClr w14:val="tx1"/>
            </w14:solidFill>
          </w14:textFill>
        </w:rPr>
      </w:pPr>
      <w:r>
        <w:rPr>
          <w:color w:val="000000" w:themeColor="text1"/>
          <w:sz w:val="22"/>
          <w:szCs w:val="24"/>
          <w:highlight w:val="none"/>
          <w14:textFill>
            <w14:solidFill>
              <w14:schemeClr w14:val="tx1"/>
            </w14:solidFill>
          </w14:textFill>
        </w:rPr>
        <w:t xml:space="preserve">注：1. 本表第一行填写本项目投标总价 </w:t>
      </w:r>
    </w:p>
    <w:p>
      <w:pPr>
        <w:ind w:left="180" w:firstLine="440" w:firstLineChars="200"/>
        <w:rPr>
          <w:color w:val="000000" w:themeColor="text1"/>
          <w:highlight w:val="none"/>
          <w14:textFill>
            <w14:solidFill>
              <w14:schemeClr w14:val="tx1"/>
            </w14:solidFill>
          </w14:textFill>
        </w:rPr>
      </w:pPr>
      <w:r>
        <w:rPr>
          <w:color w:val="000000" w:themeColor="text1"/>
          <w:sz w:val="22"/>
          <w:szCs w:val="24"/>
          <w:highlight w:val="none"/>
          <w14:textFill>
            <w14:solidFill>
              <w14:schemeClr w14:val="tx1"/>
            </w14:solidFill>
          </w14:textFill>
        </w:rPr>
        <w:t>2. 下面应填写分项价格及分项名称（分项名称可根据实际情况增减、修改），分项价格汇总应等于总价</w:t>
      </w:r>
    </w:p>
    <w:p>
      <w:pPr>
        <w:spacing w:line="460" w:lineRule="exact"/>
        <w:ind w:left="192" w:firstLine="3948" w:firstLineChars="1645"/>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p>
    <w:p>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pPr>
        <w:spacing w:line="460" w:lineRule="exact"/>
        <w:jc w:val="center"/>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填报要求：</w:t>
      </w:r>
    </w:p>
    <w:p>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1.本表的产品名称、品牌型号、金额应与《开标分项一览表》一致。</w:t>
      </w:r>
    </w:p>
    <w:p>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2.“制造商企业类型”栏填写内容为“微型”、“小型”、“监狱企业”或“残疾人福利性单位”。</w:t>
      </w:r>
    </w:p>
    <w:p>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pPr>
        <w:spacing w:line="460" w:lineRule="exact"/>
        <w:ind w:firstLine="7200" w:firstLineChars="30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单位：元</w:t>
      </w:r>
    </w:p>
    <w:tbl>
      <w:tblPr>
        <w:tblStyle w:val="1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1"/>
        <w:gridCol w:w="1564"/>
        <w:gridCol w:w="1351"/>
        <w:gridCol w:w="162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pPr>
              <w:pStyle w:val="75"/>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1.所投货物中有大型企业制造的，不享受中小企业扶持政策，无需填写以下内容</w:t>
            </w:r>
          </w:p>
          <w:p>
            <w:pPr>
              <w:pStyle w:val="75"/>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所投货物中无大型企业制造的，只填写小型、微型企业制造的货物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pPr>
              <w:pStyle w:val="75"/>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pPr>
              <w:pStyle w:val="75"/>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pPr>
              <w:pStyle w:val="75"/>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pPr>
              <w:pStyle w:val="75"/>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pPr>
              <w:pStyle w:val="75"/>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pPr>
              <w:pStyle w:val="75"/>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pPr>
              <w:pStyle w:val="75"/>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pPr>
              <w:pStyle w:val="75"/>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pPr>
        <w:spacing w:line="360" w:lineRule="auto"/>
        <w:ind w:firstLine="4080" w:firstLineChars="1700"/>
        <w:rPr>
          <w:color w:val="000000" w:themeColor="text1"/>
          <w:sz w:val="24"/>
          <w:highlight w:val="none"/>
          <w14:textFill>
            <w14:solidFill>
              <w14:schemeClr w14:val="tx1"/>
            </w14:solidFill>
          </w14:textFill>
        </w:rPr>
      </w:pPr>
    </w:p>
    <w:p>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4080" w:firstLineChars="1700"/>
        <w:rPr>
          <w:color w:val="000000" w:themeColor="text1"/>
          <w:sz w:val="24"/>
          <w:highlight w:val="none"/>
          <w14:textFill>
            <w14:solidFill>
              <w14:schemeClr w14:val="tx1"/>
            </w14:solidFill>
          </w14:textFill>
        </w:rPr>
      </w:pPr>
    </w:p>
    <w:p>
      <w:pPr>
        <w:spacing w:line="460" w:lineRule="exact"/>
        <w:ind w:left="192" w:firstLine="3948" w:firstLineChars="1645"/>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460" w:lineRule="exact"/>
        <w:jc w:val="left"/>
        <w:rPr>
          <w:color w:val="000000" w:themeColor="text1"/>
          <w:sz w:val="24"/>
          <w:highlight w:val="none"/>
          <w14:textFill>
            <w14:solidFill>
              <w14:schemeClr w14:val="tx1"/>
            </w14:solidFill>
          </w14:textFill>
        </w:rPr>
      </w:pPr>
    </w:p>
    <w:bookmarkEnd w:id="18"/>
    <w:sectPr>
      <w:head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28DE295-6AE6-4DF7-ADC2-1D0A6719D20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01C3C10-753F-422F-AB9B-1A5D57C4CF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9C52212E-8217-48B7-AD9E-819AA8ED3AF7}"/>
  </w:font>
  <w:font w:name="华文行楷">
    <w:panose1 w:val="02010800040101010101"/>
    <w:charset w:val="86"/>
    <w:family w:val="auto"/>
    <w:pitch w:val="default"/>
    <w:sig w:usb0="00000001" w:usb1="080F0000" w:usb2="00000000" w:usb3="00000000" w:csb0="00040000" w:csb1="00000000"/>
    <w:embedRegular r:id="rId4" w:fontKey="{001D3913-1D9A-4580-923A-A156999C2B82}"/>
  </w:font>
  <w:font w:name="方正行楷简体">
    <w:altName w:val="微软雅黑"/>
    <w:panose1 w:val="00000000000000000000"/>
    <w:charset w:val="86"/>
    <w:family w:val="auto"/>
    <w:pitch w:val="default"/>
    <w:sig w:usb0="00000000" w:usb1="00000000" w:usb2="00000010" w:usb3="00000000" w:csb0="00040000" w:csb1="00000000"/>
    <w:embedRegular r:id="rId5" w:fontKey="{B26055F8-0BF9-4456-9A40-CA0859B01965}"/>
  </w:font>
  <w:font w:name="楷体_GB2312">
    <w:altName w:val="楷体"/>
    <w:panose1 w:val="00000000000000000000"/>
    <w:charset w:val="00"/>
    <w:family w:val="auto"/>
    <w:pitch w:val="default"/>
    <w:sig w:usb0="00000000" w:usb1="00000000" w:usb2="00000000" w:usb3="00000000" w:csb0="00000000" w:csb1="00000000"/>
    <w:embedRegular r:id="rId6" w:fontKey="{8F9B3ED8-BEF0-472D-B30C-91360C8E1C06}"/>
  </w:font>
  <w:font w:name="方正楷体简体">
    <w:panose1 w:val="02000000000000000000"/>
    <w:charset w:val="86"/>
    <w:family w:val="auto"/>
    <w:pitch w:val="default"/>
    <w:sig w:usb0="A00002BF" w:usb1="184F6CFA" w:usb2="00000012" w:usb3="00000000" w:csb0="00040001" w:csb1="00000000"/>
    <w:embedRegular r:id="rId7" w:fontKey="{6407E2CA-A66F-4468-9848-9A5922A32DC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lang w:eastAsia="zh-CN"/>
      </w:rPr>
    </w:pPr>
    <w:r>
      <w:fldChar w:fldCharType="begin"/>
    </w:r>
    <w:r>
      <w:instrText xml:space="preserve"> PAGE   \* MERGEFORMAT </w:instrText>
    </w:r>
    <w:r>
      <w:fldChar w:fldCharType="separate"/>
    </w:r>
    <w: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296269"/>
      <w:docPartObj>
        <w:docPartGallery w:val="autotext"/>
      </w:docPartObj>
    </w:sdtPr>
    <w:sdtContent>
      <w:p>
        <w:pPr>
          <w:pStyle w:val="9"/>
          <w:jc w:val="center"/>
        </w:pPr>
        <w:r>
          <w:fldChar w:fldCharType="begin"/>
        </w:r>
        <w:r>
          <w:instrText xml:space="preserve">PAGE   \* MERGEFORMAT</w:instrText>
        </w:r>
        <w:r>
          <w:fldChar w:fldCharType="separate"/>
        </w:r>
        <w:r>
          <w:rPr>
            <w:lang w:val="zh-CN" w:eastAsia="zh-CN"/>
          </w:rPr>
          <w:t>59</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132274"/>
      <w:docPartObj>
        <w:docPartGallery w:val="autotext"/>
      </w:docPartObj>
    </w:sdtPr>
    <w:sdtContent>
      <w:p>
        <w:pPr>
          <w:pStyle w:val="9"/>
          <w:jc w:val="center"/>
        </w:pPr>
        <w:r>
          <w:fldChar w:fldCharType="begin"/>
        </w:r>
        <w:r>
          <w:instrText xml:space="preserve">PAGE   \* MERGEFORMAT</w:instrText>
        </w:r>
        <w:r>
          <w:fldChar w:fldCharType="separate"/>
        </w:r>
        <w:r>
          <w:rPr>
            <w:lang w:val="zh-CN" w:eastAsia="zh-CN"/>
          </w:rPr>
          <w:t>37</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lang w:eastAsia="zh-CN"/>
      </w:rPr>
      <w:t>竞争性</w:t>
    </w:r>
    <w:r>
      <w:rPr>
        <w:rFonts w:hint="eastAsia"/>
      </w:rPr>
      <w:t>磋商文件                                                              第</w:t>
    </w:r>
    <w:r>
      <w:rPr>
        <w:rFonts w:hint="eastAsia"/>
        <w:lang w:eastAsia="zh-CN"/>
      </w:rPr>
      <w:t>五</w:t>
    </w:r>
    <w:r>
      <w:rPr>
        <w:rFonts w:hint="eastAsia"/>
      </w:rPr>
      <w:t>部分——附件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lang w:eastAsia="zh-CN"/>
      </w:rPr>
      <w:t>竞争性</w:t>
    </w:r>
    <w:r>
      <w:rPr>
        <w:rFonts w:hint="eastAsia"/>
      </w:rPr>
      <w:t xml:space="preserve">磋商文件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9603"/>
    <w:multiLevelType w:val="singleLevel"/>
    <w:tmpl w:val="C3299603"/>
    <w:lvl w:ilvl="0" w:tentative="0">
      <w:start w:val="1"/>
      <w:numFmt w:val="decimal"/>
      <w:suff w:val="nothing"/>
      <w:lvlText w:val="（%1）"/>
      <w:lvlJc w:val="left"/>
    </w:lvl>
  </w:abstractNum>
  <w:abstractNum w:abstractNumId="1">
    <w:nsid w:val="0257F292"/>
    <w:multiLevelType w:val="singleLevel"/>
    <w:tmpl w:val="0257F292"/>
    <w:lvl w:ilvl="0" w:tentative="0">
      <w:start w:val="1"/>
      <w:numFmt w:val="bullet"/>
      <w:lvlText w:val=""/>
      <w:lvlJc w:val="left"/>
      <w:pPr>
        <w:ind w:left="420" w:hanging="420"/>
      </w:pPr>
      <w:rPr>
        <w:rFonts w:hint="default" w:ascii="Wingdings" w:hAnsi="Wingdings"/>
      </w:rPr>
    </w:lvl>
  </w:abstractNum>
  <w:abstractNum w:abstractNumId="2">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3">
    <w:nsid w:val="6A7D127D"/>
    <w:multiLevelType w:val="multilevel"/>
    <w:tmpl w:val="6A7D127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4EA"/>
    <w:rsid w:val="00000B77"/>
    <w:rsid w:val="000037D0"/>
    <w:rsid w:val="0000465D"/>
    <w:rsid w:val="0000587D"/>
    <w:rsid w:val="00005995"/>
    <w:rsid w:val="00015772"/>
    <w:rsid w:val="00020A18"/>
    <w:rsid w:val="00020D2D"/>
    <w:rsid w:val="000216E9"/>
    <w:rsid w:val="00032A32"/>
    <w:rsid w:val="00033E76"/>
    <w:rsid w:val="000342A8"/>
    <w:rsid w:val="00034655"/>
    <w:rsid w:val="00035C07"/>
    <w:rsid w:val="000375C7"/>
    <w:rsid w:val="000429C5"/>
    <w:rsid w:val="00042ED8"/>
    <w:rsid w:val="00043F6B"/>
    <w:rsid w:val="00045600"/>
    <w:rsid w:val="0005195C"/>
    <w:rsid w:val="00054F1E"/>
    <w:rsid w:val="000552DF"/>
    <w:rsid w:val="0005619E"/>
    <w:rsid w:val="000573A8"/>
    <w:rsid w:val="0006080C"/>
    <w:rsid w:val="0006452D"/>
    <w:rsid w:val="00065FED"/>
    <w:rsid w:val="000674A7"/>
    <w:rsid w:val="000704BA"/>
    <w:rsid w:val="00070732"/>
    <w:rsid w:val="000764E0"/>
    <w:rsid w:val="00076A6F"/>
    <w:rsid w:val="00083E6C"/>
    <w:rsid w:val="00087F95"/>
    <w:rsid w:val="00090B02"/>
    <w:rsid w:val="000B003E"/>
    <w:rsid w:val="000B4838"/>
    <w:rsid w:val="000B5E84"/>
    <w:rsid w:val="000B5ECC"/>
    <w:rsid w:val="000B7579"/>
    <w:rsid w:val="000C09BE"/>
    <w:rsid w:val="000C0F85"/>
    <w:rsid w:val="000C139E"/>
    <w:rsid w:val="000D30EB"/>
    <w:rsid w:val="000D3FF5"/>
    <w:rsid w:val="000D4FB6"/>
    <w:rsid w:val="000D789C"/>
    <w:rsid w:val="000E2A0F"/>
    <w:rsid w:val="000E2EE1"/>
    <w:rsid w:val="000E5994"/>
    <w:rsid w:val="000E5BD6"/>
    <w:rsid w:val="000E6AA8"/>
    <w:rsid w:val="000F0266"/>
    <w:rsid w:val="000F6CDC"/>
    <w:rsid w:val="00101429"/>
    <w:rsid w:val="001042B0"/>
    <w:rsid w:val="001057B7"/>
    <w:rsid w:val="00105CDF"/>
    <w:rsid w:val="001130D2"/>
    <w:rsid w:val="00114D52"/>
    <w:rsid w:val="001162E3"/>
    <w:rsid w:val="00117413"/>
    <w:rsid w:val="00120F2C"/>
    <w:rsid w:val="00121B2F"/>
    <w:rsid w:val="00122119"/>
    <w:rsid w:val="001252C7"/>
    <w:rsid w:val="00125EC4"/>
    <w:rsid w:val="00133B7E"/>
    <w:rsid w:val="00133BC4"/>
    <w:rsid w:val="00134DE1"/>
    <w:rsid w:val="0013574E"/>
    <w:rsid w:val="00137611"/>
    <w:rsid w:val="00137FEB"/>
    <w:rsid w:val="0014061A"/>
    <w:rsid w:val="00142E4E"/>
    <w:rsid w:val="00150852"/>
    <w:rsid w:val="001527AA"/>
    <w:rsid w:val="001559C7"/>
    <w:rsid w:val="00156B04"/>
    <w:rsid w:val="00157026"/>
    <w:rsid w:val="00160174"/>
    <w:rsid w:val="001617D6"/>
    <w:rsid w:val="00161BCD"/>
    <w:rsid w:val="00167F61"/>
    <w:rsid w:val="0017050D"/>
    <w:rsid w:val="00172A27"/>
    <w:rsid w:val="001769D6"/>
    <w:rsid w:val="001774CC"/>
    <w:rsid w:val="00181FE1"/>
    <w:rsid w:val="001835EF"/>
    <w:rsid w:val="001870A8"/>
    <w:rsid w:val="00187820"/>
    <w:rsid w:val="001903BD"/>
    <w:rsid w:val="001904ED"/>
    <w:rsid w:val="00193FBE"/>
    <w:rsid w:val="00196F9A"/>
    <w:rsid w:val="001A3FE5"/>
    <w:rsid w:val="001A64D8"/>
    <w:rsid w:val="001B2A3C"/>
    <w:rsid w:val="001B42D2"/>
    <w:rsid w:val="001B6A39"/>
    <w:rsid w:val="001B7F9C"/>
    <w:rsid w:val="001C455A"/>
    <w:rsid w:val="001C4B68"/>
    <w:rsid w:val="001D53D3"/>
    <w:rsid w:val="001D5812"/>
    <w:rsid w:val="001E525F"/>
    <w:rsid w:val="001E6B47"/>
    <w:rsid w:val="001E7F28"/>
    <w:rsid w:val="001F6106"/>
    <w:rsid w:val="00200DB2"/>
    <w:rsid w:val="0020130B"/>
    <w:rsid w:val="002046E2"/>
    <w:rsid w:val="002048BD"/>
    <w:rsid w:val="0021101A"/>
    <w:rsid w:val="00212D65"/>
    <w:rsid w:val="002150B6"/>
    <w:rsid w:val="00215685"/>
    <w:rsid w:val="00215F7E"/>
    <w:rsid w:val="002246AA"/>
    <w:rsid w:val="00225731"/>
    <w:rsid w:val="0022635A"/>
    <w:rsid w:val="00227978"/>
    <w:rsid w:val="0023052B"/>
    <w:rsid w:val="00231587"/>
    <w:rsid w:val="00231A40"/>
    <w:rsid w:val="002326EF"/>
    <w:rsid w:val="00232BEA"/>
    <w:rsid w:val="00235BC9"/>
    <w:rsid w:val="00236454"/>
    <w:rsid w:val="00240212"/>
    <w:rsid w:val="00241314"/>
    <w:rsid w:val="00243539"/>
    <w:rsid w:val="002442E0"/>
    <w:rsid w:val="00252A42"/>
    <w:rsid w:val="002551EE"/>
    <w:rsid w:val="00255AD9"/>
    <w:rsid w:val="00255E23"/>
    <w:rsid w:val="00256085"/>
    <w:rsid w:val="00262896"/>
    <w:rsid w:val="002657C3"/>
    <w:rsid w:val="00265B15"/>
    <w:rsid w:val="00266851"/>
    <w:rsid w:val="0027277F"/>
    <w:rsid w:val="00273BAB"/>
    <w:rsid w:val="00293EE2"/>
    <w:rsid w:val="00294794"/>
    <w:rsid w:val="00296513"/>
    <w:rsid w:val="002A1682"/>
    <w:rsid w:val="002A211A"/>
    <w:rsid w:val="002A6857"/>
    <w:rsid w:val="002A732E"/>
    <w:rsid w:val="002B000D"/>
    <w:rsid w:val="002B3AEF"/>
    <w:rsid w:val="002C35DA"/>
    <w:rsid w:val="002C3EC4"/>
    <w:rsid w:val="002C4CA0"/>
    <w:rsid w:val="002C7AC2"/>
    <w:rsid w:val="002D15F8"/>
    <w:rsid w:val="002D1AE1"/>
    <w:rsid w:val="002D1C12"/>
    <w:rsid w:val="002D25CA"/>
    <w:rsid w:val="002D3C68"/>
    <w:rsid w:val="002D4DA4"/>
    <w:rsid w:val="002D6B01"/>
    <w:rsid w:val="002D73C8"/>
    <w:rsid w:val="002E3BE2"/>
    <w:rsid w:val="002E6FE5"/>
    <w:rsid w:val="002F10F7"/>
    <w:rsid w:val="002F5BFB"/>
    <w:rsid w:val="002F7DF9"/>
    <w:rsid w:val="00300228"/>
    <w:rsid w:val="003009BE"/>
    <w:rsid w:val="00300C2E"/>
    <w:rsid w:val="0030280B"/>
    <w:rsid w:val="0031239D"/>
    <w:rsid w:val="003126F6"/>
    <w:rsid w:val="00320B4B"/>
    <w:rsid w:val="003240F7"/>
    <w:rsid w:val="0032463A"/>
    <w:rsid w:val="00330816"/>
    <w:rsid w:val="00333004"/>
    <w:rsid w:val="00334933"/>
    <w:rsid w:val="00335796"/>
    <w:rsid w:val="00340C50"/>
    <w:rsid w:val="00341878"/>
    <w:rsid w:val="003438C9"/>
    <w:rsid w:val="00343C6D"/>
    <w:rsid w:val="00344BA1"/>
    <w:rsid w:val="00345604"/>
    <w:rsid w:val="00352894"/>
    <w:rsid w:val="003573EE"/>
    <w:rsid w:val="003606FC"/>
    <w:rsid w:val="003618EA"/>
    <w:rsid w:val="00362E72"/>
    <w:rsid w:val="003632C3"/>
    <w:rsid w:val="003640FA"/>
    <w:rsid w:val="003666EA"/>
    <w:rsid w:val="00367A30"/>
    <w:rsid w:val="00367A4A"/>
    <w:rsid w:val="003701FB"/>
    <w:rsid w:val="00370808"/>
    <w:rsid w:val="0037126B"/>
    <w:rsid w:val="0037547B"/>
    <w:rsid w:val="00376202"/>
    <w:rsid w:val="00380522"/>
    <w:rsid w:val="00386FE4"/>
    <w:rsid w:val="0038787A"/>
    <w:rsid w:val="00391727"/>
    <w:rsid w:val="003931AF"/>
    <w:rsid w:val="00393DBB"/>
    <w:rsid w:val="003946E5"/>
    <w:rsid w:val="00394D5C"/>
    <w:rsid w:val="003A0E24"/>
    <w:rsid w:val="003A14EB"/>
    <w:rsid w:val="003A36B1"/>
    <w:rsid w:val="003A4CA6"/>
    <w:rsid w:val="003A6071"/>
    <w:rsid w:val="003A775A"/>
    <w:rsid w:val="003B4C3A"/>
    <w:rsid w:val="003B5F75"/>
    <w:rsid w:val="003B6654"/>
    <w:rsid w:val="003C0468"/>
    <w:rsid w:val="003C4CB4"/>
    <w:rsid w:val="003C7D00"/>
    <w:rsid w:val="003D0166"/>
    <w:rsid w:val="003D06FB"/>
    <w:rsid w:val="003D0CBC"/>
    <w:rsid w:val="003D2F45"/>
    <w:rsid w:val="003D6D88"/>
    <w:rsid w:val="003D7E24"/>
    <w:rsid w:val="003D7E7E"/>
    <w:rsid w:val="003E0680"/>
    <w:rsid w:val="003E2928"/>
    <w:rsid w:val="003E298B"/>
    <w:rsid w:val="003E4360"/>
    <w:rsid w:val="003E4860"/>
    <w:rsid w:val="003E5900"/>
    <w:rsid w:val="003E6326"/>
    <w:rsid w:val="003F2D99"/>
    <w:rsid w:val="00400F3A"/>
    <w:rsid w:val="00405BA0"/>
    <w:rsid w:val="00407579"/>
    <w:rsid w:val="004107A8"/>
    <w:rsid w:val="00412361"/>
    <w:rsid w:val="00412FD4"/>
    <w:rsid w:val="00413BF4"/>
    <w:rsid w:val="00414CFF"/>
    <w:rsid w:val="00415C41"/>
    <w:rsid w:val="0042146F"/>
    <w:rsid w:val="0042248F"/>
    <w:rsid w:val="00423141"/>
    <w:rsid w:val="00435428"/>
    <w:rsid w:val="00441D86"/>
    <w:rsid w:val="00442E1A"/>
    <w:rsid w:val="00451C1A"/>
    <w:rsid w:val="004545AE"/>
    <w:rsid w:val="00455D73"/>
    <w:rsid w:val="00460AB8"/>
    <w:rsid w:val="004642AD"/>
    <w:rsid w:val="00465005"/>
    <w:rsid w:val="00466EA5"/>
    <w:rsid w:val="00470088"/>
    <w:rsid w:val="0047059F"/>
    <w:rsid w:val="00471F2C"/>
    <w:rsid w:val="00472780"/>
    <w:rsid w:val="004755F2"/>
    <w:rsid w:val="00484901"/>
    <w:rsid w:val="00484AD8"/>
    <w:rsid w:val="00484C59"/>
    <w:rsid w:val="0048547F"/>
    <w:rsid w:val="00490299"/>
    <w:rsid w:val="00490799"/>
    <w:rsid w:val="00490984"/>
    <w:rsid w:val="00496DAA"/>
    <w:rsid w:val="004A3B1E"/>
    <w:rsid w:val="004A408B"/>
    <w:rsid w:val="004A7577"/>
    <w:rsid w:val="004B1E88"/>
    <w:rsid w:val="004B5C68"/>
    <w:rsid w:val="004B787B"/>
    <w:rsid w:val="004C04BD"/>
    <w:rsid w:val="004C21E7"/>
    <w:rsid w:val="004C6D18"/>
    <w:rsid w:val="004D1434"/>
    <w:rsid w:val="004D1D00"/>
    <w:rsid w:val="004D2271"/>
    <w:rsid w:val="004D7FDF"/>
    <w:rsid w:val="004E1738"/>
    <w:rsid w:val="004E2B3C"/>
    <w:rsid w:val="004E69C4"/>
    <w:rsid w:val="004E7020"/>
    <w:rsid w:val="004E7B78"/>
    <w:rsid w:val="004F44FA"/>
    <w:rsid w:val="004F4792"/>
    <w:rsid w:val="0050047A"/>
    <w:rsid w:val="00504C20"/>
    <w:rsid w:val="005075FD"/>
    <w:rsid w:val="00523739"/>
    <w:rsid w:val="00524164"/>
    <w:rsid w:val="00526639"/>
    <w:rsid w:val="0053092B"/>
    <w:rsid w:val="00532705"/>
    <w:rsid w:val="00537011"/>
    <w:rsid w:val="005374D6"/>
    <w:rsid w:val="00540628"/>
    <w:rsid w:val="00540C6A"/>
    <w:rsid w:val="0054122F"/>
    <w:rsid w:val="005423C0"/>
    <w:rsid w:val="00542D19"/>
    <w:rsid w:val="00545E39"/>
    <w:rsid w:val="00550332"/>
    <w:rsid w:val="00550FA1"/>
    <w:rsid w:val="0055108D"/>
    <w:rsid w:val="0055455F"/>
    <w:rsid w:val="005556FA"/>
    <w:rsid w:val="00557388"/>
    <w:rsid w:val="00560186"/>
    <w:rsid w:val="005624C4"/>
    <w:rsid w:val="00562DA8"/>
    <w:rsid w:val="005665F9"/>
    <w:rsid w:val="005732E6"/>
    <w:rsid w:val="005773EB"/>
    <w:rsid w:val="00577757"/>
    <w:rsid w:val="00581F27"/>
    <w:rsid w:val="00587146"/>
    <w:rsid w:val="00595045"/>
    <w:rsid w:val="00595A5D"/>
    <w:rsid w:val="005A0675"/>
    <w:rsid w:val="005A3205"/>
    <w:rsid w:val="005B184D"/>
    <w:rsid w:val="005B1BED"/>
    <w:rsid w:val="005B48B1"/>
    <w:rsid w:val="005C11A2"/>
    <w:rsid w:val="005C3D81"/>
    <w:rsid w:val="005C4D98"/>
    <w:rsid w:val="005C6C07"/>
    <w:rsid w:val="005C726B"/>
    <w:rsid w:val="005C7D29"/>
    <w:rsid w:val="005D0F4E"/>
    <w:rsid w:val="005D12AD"/>
    <w:rsid w:val="005D14BF"/>
    <w:rsid w:val="005D3199"/>
    <w:rsid w:val="005D611D"/>
    <w:rsid w:val="005E040B"/>
    <w:rsid w:val="005E2176"/>
    <w:rsid w:val="005E2C9A"/>
    <w:rsid w:val="005E6280"/>
    <w:rsid w:val="005E7D93"/>
    <w:rsid w:val="005F0794"/>
    <w:rsid w:val="005F1A71"/>
    <w:rsid w:val="005F427F"/>
    <w:rsid w:val="005F45E5"/>
    <w:rsid w:val="005F4DEC"/>
    <w:rsid w:val="005F7212"/>
    <w:rsid w:val="005F7BD9"/>
    <w:rsid w:val="005F7D57"/>
    <w:rsid w:val="00605D36"/>
    <w:rsid w:val="0061093D"/>
    <w:rsid w:val="00612227"/>
    <w:rsid w:val="0061472A"/>
    <w:rsid w:val="0061678D"/>
    <w:rsid w:val="006168D2"/>
    <w:rsid w:val="00616F4D"/>
    <w:rsid w:val="0062130D"/>
    <w:rsid w:val="00621B48"/>
    <w:rsid w:val="006240E8"/>
    <w:rsid w:val="00625801"/>
    <w:rsid w:val="0062612F"/>
    <w:rsid w:val="006264D7"/>
    <w:rsid w:val="0062763C"/>
    <w:rsid w:val="00627CB8"/>
    <w:rsid w:val="0063158C"/>
    <w:rsid w:val="006349C8"/>
    <w:rsid w:val="00640411"/>
    <w:rsid w:val="00650A02"/>
    <w:rsid w:val="00653417"/>
    <w:rsid w:val="0065637A"/>
    <w:rsid w:val="00664744"/>
    <w:rsid w:val="00673AD5"/>
    <w:rsid w:val="00673FC4"/>
    <w:rsid w:val="006764EE"/>
    <w:rsid w:val="00677B52"/>
    <w:rsid w:val="006800F5"/>
    <w:rsid w:val="00681702"/>
    <w:rsid w:val="00682371"/>
    <w:rsid w:val="006853AD"/>
    <w:rsid w:val="00687143"/>
    <w:rsid w:val="00695E07"/>
    <w:rsid w:val="006A1344"/>
    <w:rsid w:val="006A440B"/>
    <w:rsid w:val="006A4E6E"/>
    <w:rsid w:val="006B2E9A"/>
    <w:rsid w:val="006B4716"/>
    <w:rsid w:val="006B4877"/>
    <w:rsid w:val="006B4D99"/>
    <w:rsid w:val="006B4F41"/>
    <w:rsid w:val="006C05EF"/>
    <w:rsid w:val="006C193C"/>
    <w:rsid w:val="006C3B0C"/>
    <w:rsid w:val="006C6E37"/>
    <w:rsid w:val="006D3096"/>
    <w:rsid w:val="006D3686"/>
    <w:rsid w:val="006D3D96"/>
    <w:rsid w:val="006E2C2C"/>
    <w:rsid w:val="006E3E83"/>
    <w:rsid w:val="006E446A"/>
    <w:rsid w:val="006F570A"/>
    <w:rsid w:val="006F5FB0"/>
    <w:rsid w:val="00702764"/>
    <w:rsid w:val="0070364F"/>
    <w:rsid w:val="00703F2F"/>
    <w:rsid w:val="00707CC8"/>
    <w:rsid w:val="00711AD1"/>
    <w:rsid w:val="007120C8"/>
    <w:rsid w:val="00712876"/>
    <w:rsid w:val="00716479"/>
    <w:rsid w:val="007165C9"/>
    <w:rsid w:val="007203AA"/>
    <w:rsid w:val="00720DF4"/>
    <w:rsid w:val="00720FC2"/>
    <w:rsid w:val="00721024"/>
    <w:rsid w:val="007211EE"/>
    <w:rsid w:val="00721C25"/>
    <w:rsid w:val="0072626C"/>
    <w:rsid w:val="00727323"/>
    <w:rsid w:val="007314A4"/>
    <w:rsid w:val="00732595"/>
    <w:rsid w:val="0073402E"/>
    <w:rsid w:val="00745154"/>
    <w:rsid w:val="0074587F"/>
    <w:rsid w:val="00746410"/>
    <w:rsid w:val="0074695C"/>
    <w:rsid w:val="007508E8"/>
    <w:rsid w:val="00753205"/>
    <w:rsid w:val="00757FFC"/>
    <w:rsid w:val="00762DD0"/>
    <w:rsid w:val="00764A2E"/>
    <w:rsid w:val="00766ACA"/>
    <w:rsid w:val="00772CAB"/>
    <w:rsid w:val="00782C83"/>
    <w:rsid w:val="0078732E"/>
    <w:rsid w:val="00787E00"/>
    <w:rsid w:val="00792106"/>
    <w:rsid w:val="007926E0"/>
    <w:rsid w:val="0079570B"/>
    <w:rsid w:val="007967D5"/>
    <w:rsid w:val="007A13CC"/>
    <w:rsid w:val="007A1445"/>
    <w:rsid w:val="007A6D31"/>
    <w:rsid w:val="007A7060"/>
    <w:rsid w:val="007B2C07"/>
    <w:rsid w:val="007B69AF"/>
    <w:rsid w:val="007B7D89"/>
    <w:rsid w:val="007C1810"/>
    <w:rsid w:val="007C3CFF"/>
    <w:rsid w:val="007C5EE2"/>
    <w:rsid w:val="007C6375"/>
    <w:rsid w:val="007C6859"/>
    <w:rsid w:val="007C7796"/>
    <w:rsid w:val="007D04CB"/>
    <w:rsid w:val="007D11CA"/>
    <w:rsid w:val="007D45C1"/>
    <w:rsid w:val="007D59D2"/>
    <w:rsid w:val="007E06D9"/>
    <w:rsid w:val="007E0DE4"/>
    <w:rsid w:val="007E3A4E"/>
    <w:rsid w:val="007E5B2A"/>
    <w:rsid w:val="007E6EFA"/>
    <w:rsid w:val="0080016A"/>
    <w:rsid w:val="00803463"/>
    <w:rsid w:val="00803604"/>
    <w:rsid w:val="00812402"/>
    <w:rsid w:val="00812E6D"/>
    <w:rsid w:val="008135F1"/>
    <w:rsid w:val="00816D8A"/>
    <w:rsid w:val="008204B5"/>
    <w:rsid w:val="008242F4"/>
    <w:rsid w:val="00824C9D"/>
    <w:rsid w:val="00832986"/>
    <w:rsid w:val="00833682"/>
    <w:rsid w:val="008376ED"/>
    <w:rsid w:val="00842F75"/>
    <w:rsid w:val="00846CEA"/>
    <w:rsid w:val="00850167"/>
    <w:rsid w:val="00850744"/>
    <w:rsid w:val="00853D50"/>
    <w:rsid w:val="00854FEF"/>
    <w:rsid w:val="0085531E"/>
    <w:rsid w:val="0086321B"/>
    <w:rsid w:val="00870159"/>
    <w:rsid w:val="008703AE"/>
    <w:rsid w:val="0087091B"/>
    <w:rsid w:val="008710A1"/>
    <w:rsid w:val="008735F2"/>
    <w:rsid w:val="00874E27"/>
    <w:rsid w:val="00876E58"/>
    <w:rsid w:val="008804DB"/>
    <w:rsid w:val="00883398"/>
    <w:rsid w:val="00886487"/>
    <w:rsid w:val="008972CA"/>
    <w:rsid w:val="00897671"/>
    <w:rsid w:val="008A132D"/>
    <w:rsid w:val="008A34A6"/>
    <w:rsid w:val="008A5E84"/>
    <w:rsid w:val="008B1CB3"/>
    <w:rsid w:val="008B4A74"/>
    <w:rsid w:val="008C14BA"/>
    <w:rsid w:val="008C23C6"/>
    <w:rsid w:val="008C4946"/>
    <w:rsid w:val="008D01CE"/>
    <w:rsid w:val="008D2024"/>
    <w:rsid w:val="008D2DBD"/>
    <w:rsid w:val="008D374D"/>
    <w:rsid w:val="008E2099"/>
    <w:rsid w:val="008E4FC7"/>
    <w:rsid w:val="008E5781"/>
    <w:rsid w:val="008E6D8B"/>
    <w:rsid w:val="008F409C"/>
    <w:rsid w:val="008F6AEF"/>
    <w:rsid w:val="008F7A5E"/>
    <w:rsid w:val="0090065D"/>
    <w:rsid w:val="00904AA7"/>
    <w:rsid w:val="009055E2"/>
    <w:rsid w:val="009079F5"/>
    <w:rsid w:val="009111AE"/>
    <w:rsid w:val="00913CA6"/>
    <w:rsid w:val="00915E2D"/>
    <w:rsid w:val="00917A99"/>
    <w:rsid w:val="009210FB"/>
    <w:rsid w:val="00922F95"/>
    <w:rsid w:val="00924764"/>
    <w:rsid w:val="009268E3"/>
    <w:rsid w:val="0093756E"/>
    <w:rsid w:val="00940A1A"/>
    <w:rsid w:val="0094300C"/>
    <w:rsid w:val="00943B4D"/>
    <w:rsid w:val="00945688"/>
    <w:rsid w:val="00947844"/>
    <w:rsid w:val="009501C8"/>
    <w:rsid w:val="00957C77"/>
    <w:rsid w:val="0096400C"/>
    <w:rsid w:val="009811BB"/>
    <w:rsid w:val="00985DDE"/>
    <w:rsid w:val="0098758A"/>
    <w:rsid w:val="00991362"/>
    <w:rsid w:val="0099181F"/>
    <w:rsid w:val="009930B7"/>
    <w:rsid w:val="009A0835"/>
    <w:rsid w:val="009A27C1"/>
    <w:rsid w:val="009A7C80"/>
    <w:rsid w:val="009B06E6"/>
    <w:rsid w:val="009B22F4"/>
    <w:rsid w:val="009B324F"/>
    <w:rsid w:val="009B7C64"/>
    <w:rsid w:val="009C34E9"/>
    <w:rsid w:val="009C374E"/>
    <w:rsid w:val="009C5733"/>
    <w:rsid w:val="009C5EA9"/>
    <w:rsid w:val="009D0952"/>
    <w:rsid w:val="009D21FA"/>
    <w:rsid w:val="009D32E2"/>
    <w:rsid w:val="009D6F98"/>
    <w:rsid w:val="009D7D10"/>
    <w:rsid w:val="009D7F8F"/>
    <w:rsid w:val="009E3D52"/>
    <w:rsid w:val="009E433C"/>
    <w:rsid w:val="009E4E67"/>
    <w:rsid w:val="009E4FFA"/>
    <w:rsid w:val="009F0DA0"/>
    <w:rsid w:val="009F5723"/>
    <w:rsid w:val="009F7AA2"/>
    <w:rsid w:val="00A03C81"/>
    <w:rsid w:val="00A06D08"/>
    <w:rsid w:val="00A07CEC"/>
    <w:rsid w:val="00A07D46"/>
    <w:rsid w:val="00A143EC"/>
    <w:rsid w:val="00A14CEF"/>
    <w:rsid w:val="00A16412"/>
    <w:rsid w:val="00A20293"/>
    <w:rsid w:val="00A230AE"/>
    <w:rsid w:val="00A23689"/>
    <w:rsid w:val="00A23FAC"/>
    <w:rsid w:val="00A242A3"/>
    <w:rsid w:val="00A2483D"/>
    <w:rsid w:val="00A26999"/>
    <w:rsid w:val="00A2781B"/>
    <w:rsid w:val="00A27D13"/>
    <w:rsid w:val="00A30066"/>
    <w:rsid w:val="00A31DCC"/>
    <w:rsid w:val="00A337C7"/>
    <w:rsid w:val="00A37E45"/>
    <w:rsid w:val="00A41510"/>
    <w:rsid w:val="00A435A5"/>
    <w:rsid w:val="00A44073"/>
    <w:rsid w:val="00A52E21"/>
    <w:rsid w:val="00A53DDA"/>
    <w:rsid w:val="00A55784"/>
    <w:rsid w:val="00A56E1E"/>
    <w:rsid w:val="00A616C1"/>
    <w:rsid w:val="00A620E0"/>
    <w:rsid w:val="00A624C6"/>
    <w:rsid w:val="00A62C23"/>
    <w:rsid w:val="00A6554D"/>
    <w:rsid w:val="00A66F2B"/>
    <w:rsid w:val="00A678A9"/>
    <w:rsid w:val="00A70260"/>
    <w:rsid w:val="00A702D0"/>
    <w:rsid w:val="00A7094B"/>
    <w:rsid w:val="00A74039"/>
    <w:rsid w:val="00A745BE"/>
    <w:rsid w:val="00A7533B"/>
    <w:rsid w:val="00A75A21"/>
    <w:rsid w:val="00A76B93"/>
    <w:rsid w:val="00A76D49"/>
    <w:rsid w:val="00A80A6B"/>
    <w:rsid w:val="00A81DBB"/>
    <w:rsid w:val="00A93719"/>
    <w:rsid w:val="00A973A6"/>
    <w:rsid w:val="00AA0139"/>
    <w:rsid w:val="00AA19FC"/>
    <w:rsid w:val="00AA3E09"/>
    <w:rsid w:val="00AA619D"/>
    <w:rsid w:val="00AB2538"/>
    <w:rsid w:val="00AB2AA9"/>
    <w:rsid w:val="00AC45CB"/>
    <w:rsid w:val="00AC7294"/>
    <w:rsid w:val="00AD12A2"/>
    <w:rsid w:val="00AD1BCB"/>
    <w:rsid w:val="00AD3278"/>
    <w:rsid w:val="00AD3C7B"/>
    <w:rsid w:val="00AD50A5"/>
    <w:rsid w:val="00AD5CD2"/>
    <w:rsid w:val="00AD61C3"/>
    <w:rsid w:val="00AD6676"/>
    <w:rsid w:val="00AE4967"/>
    <w:rsid w:val="00AE4EA4"/>
    <w:rsid w:val="00AE59B1"/>
    <w:rsid w:val="00AF0617"/>
    <w:rsid w:val="00AF1256"/>
    <w:rsid w:val="00AF1C29"/>
    <w:rsid w:val="00AF23F1"/>
    <w:rsid w:val="00B03236"/>
    <w:rsid w:val="00B0587E"/>
    <w:rsid w:val="00B122AD"/>
    <w:rsid w:val="00B1320C"/>
    <w:rsid w:val="00B135A2"/>
    <w:rsid w:val="00B17A68"/>
    <w:rsid w:val="00B200CF"/>
    <w:rsid w:val="00B24BA8"/>
    <w:rsid w:val="00B45822"/>
    <w:rsid w:val="00B6205A"/>
    <w:rsid w:val="00B62DE5"/>
    <w:rsid w:val="00B715F9"/>
    <w:rsid w:val="00B75B38"/>
    <w:rsid w:val="00B81AC3"/>
    <w:rsid w:val="00B81B71"/>
    <w:rsid w:val="00B8228C"/>
    <w:rsid w:val="00B82941"/>
    <w:rsid w:val="00B84680"/>
    <w:rsid w:val="00B87785"/>
    <w:rsid w:val="00B90D6E"/>
    <w:rsid w:val="00B921D1"/>
    <w:rsid w:val="00B92C93"/>
    <w:rsid w:val="00BA0046"/>
    <w:rsid w:val="00BA06DE"/>
    <w:rsid w:val="00BA0CF6"/>
    <w:rsid w:val="00BA2305"/>
    <w:rsid w:val="00BA682E"/>
    <w:rsid w:val="00BA6966"/>
    <w:rsid w:val="00BA6BC0"/>
    <w:rsid w:val="00BB35D2"/>
    <w:rsid w:val="00BB37DB"/>
    <w:rsid w:val="00BC6BB8"/>
    <w:rsid w:val="00BC763B"/>
    <w:rsid w:val="00BC7F5C"/>
    <w:rsid w:val="00BD19AB"/>
    <w:rsid w:val="00BD4001"/>
    <w:rsid w:val="00BD5F6D"/>
    <w:rsid w:val="00BE21EF"/>
    <w:rsid w:val="00BE3AA4"/>
    <w:rsid w:val="00BE3C72"/>
    <w:rsid w:val="00BE49F6"/>
    <w:rsid w:val="00BE569F"/>
    <w:rsid w:val="00BE6359"/>
    <w:rsid w:val="00BE762D"/>
    <w:rsid w:val="00BF07AB"/>
    <w:rsid w:val="00BF1ABC"/>
    <w:rsid w:val="00BF1C85"/>
    <w:rsid w:val="00C01AE0"/>
    <w:rsid w:val="00C04DCC"/>
    <w:rsid w:val="00C05832"/>
    <w:rsid w:val="00C06CB5"/>
    <w:rsid w:val="00C07490"/>
    <w:rsid w:val="00C12F9C"/>
    <w:rsid w:val="00C13990"/>
    <w:rsid w:val="00C20EBD"/>
    <w:rsid w:val="00C21296"/>
    <w:rsid w:val="00C22999"/>
    <w:rsid w:val="00C262D9"/>
    <w:rsid w:val="00C33164"/>
    <w:rsid w:val="00C412FD"/>
    <w:rsid w:val="00C51DB6"/>
    <w:rsid w:val="00C526FE"/>
    <w:rsid w:val="00C52837"/>
    <w:rsid w:val="00C52C58"/>
    <w:rsid w:val="00C603C4"/>
    <w:rsid w:val="00C620BD"/>
    <w:rsid w:val="00C64A00"/>
    <w:rsid w:val="00C65114"/>
    <w:rsid w:val="00C66D31"/>
    <w:rsid w:val="00C736EE"/>
    <w:rsid w:val="00C77314"/>
    <w:rsid w:val="00C90589"/>
    <w:rsid w:val="00C94499"/>
    <w:rsid w:val="00C94800"/>
    <w:rsid w:val="00C95EEA"/>
    <w:rsid w:val="00CB0E25"/>
    <w:rsid w:val="00CC21CE"/>
    <w:rsid w:val="00CC595E"/>
    <w:rsid w:val="00CC5A47"/>
    <w:rsid w:val="00CC5E3F"/>
    <w:rsid w:val="00CC6098"/>
    <w:rsid w:val="00CC6E93"/>
    <w:rsid w:val="00CD4E0D"/>
    <w:rsid w:val="00CE040B"/>
    <w:rsid w:val="00CE2661"/>
    <w:rsid w:val="00CE664D"/>
    <w:rsid w:val="00CE6B4A"/>
    <w:rsid w:val="00CE7786"/>
    <w:rsid w:val="00CE7B2C"/>
    <w:rsid w:val="00CF2375"/>
    <w:rsid w:val="00CF2C9B"/>
    <w:rsid w:val="00CF2EAF"/>
    <w:rsid w:val="00CF3479"/>
    <w:rsid w:val="00CF491E"/>
    <w:rsid w:val="00CF6148"/>
    <w:rsid w:val="00CF69F9"/>
    <w:rsid w:val="00CF6B5C"/>
    <w:rsid w:val="00CF78FB"/>
    <w:rsid w:val="00D05644"/>
    <w:rsid w:val="00D14CF5"/>
    <w:rsid w:val="00D21214"/>
    <w:rsid w:val="00D243AC"/>
    <w:rsid w:val="00D2528A"/>
    <w:rsid w:val="00D2674F"/>
    <w:rsid w:val="00D3318E"/>
    <w:rsid w:val="00D336F7"/>
    <w:rsid w:val="00D37450"/>
    <w:rsid w:val="00D40300"/>
    <w:rsid w:val="00D40B32"/>
    <w:rsid w:val="00D40CD0"/>
    <w:rsid w:val="00D412AC"/>
    <w:rsid w:val="00D44E34"/>
    <w:rsid w:val="00D44F8D"/>
    <w:rsid w:val="00D46E2F"/>
    <w:rsid w:val="00D5316B"/>
    <w:rsid w:val="00D563AD"/>
    <w:rsid w:val="00D56A47"/>
    <w:rsid w:val="00D573A5"/>
    <w:rsid w:val="00D6288B"/>
    <w:rsid w:val="00D631B3"/>
    <w:rsid w:val="00D63C00"/>
    <w:rsid w:val="00D63FE0"/>
    <w:rsid w:val="00D64A44"/>
    <w:rsid w:val="00D743B5"/>
    <w:rsid w:val="00D82F7E"/>
    <w:rsid w:val="00D84F95"/>
    <w:rsid w:val="00D85FC6"/>
    <w:rsid w:val="00D86D6D"/>
    <w:rsid w:val="00D92F6B"/>
    <w:rsid w:val="00D942B4"/>
    <w:rsid w:val="00D94374"/>
    <w:rsid w:val="00D9534C"/>
    <w:rsid w:val="00DA1C88"/>
    <w:rsid w:val="00DA2A8F"/>
    <w:rsid w:val="00DA4C95"/>
    <w:rsid w:val="00DA64A4"/>
    <w:rsid w:val="00DA675B"/>
    <w:rsid w:val="00DA6A35"/>
    <w:rsid w:val="00DA7D4B"/>
    <w:rsid w:val="00DB10F2"/>
    <w:rsid w:val="00DB2DDA"/>
    <w:rsid w:val="00DB5613"/>
    <w:rsid w:val="00DB641F"/>
    <w:rsid w:val="00DC05EB"/>
    <w:rsid w:val="00DC4AD1"/>
    <w:rsid w:val="00DC52C8"/>
    <w:rsid w:val="00DC6F19"/>
    <w:rsid w:val="00DC7A4C"/>
    <w:rsid w:val="00DD0A8F"/>
    <w:rsid w:val="00DD48B2"/>
    <w:rsid w:val="00DD5741"/>
    <w:rsid w:val="00DE08C2"/>
    <w:rsid w:val="00DE46F8"/>
    <w:rsid w:val="00DE5A34"/>
    <w:rsid w:val="00DE6496"/>
    <w:rsid w:val="00DF057A"/>
    <w:rsid w:val="00DF3063"/>
    <w:rsid w:val="00DF3298"/>
    <w:rsid w:val="00DF4FC2"/>
    <w:rsid w:val="00E00836"/>
    <w:rsid w:val="00E02866"/>
    <w:rsid w:val="00E05357"/>
    <w:rsid w:val="00E05B2E"/>
    <w:rsid w:val="00E06045"/>
    <w:rsid w:val="00E074A3"/>
    <w:rsid w:val="00E1251F"/>
    <w:rsid w:val="00E1291D"/>
    <w:rsid w:val="00E17127"/>
    <w:rsid w:val="00E20CD7"/>
    <w:rsid w:val="00E20EE3"/>
    <w:rsid w:val="00E2137A"/>
    <w:rsid w:val="00E22087"/>
    <w:rsid w:val="00E24321"/>
    <w:rsid w:val="00E24EE5"/>
    <w:rsid w:val="00E25A10"/>
    <w:rsid w:val="00E25F4F"/>
    <w:rsid w:val="00E26EEF"/>
    <w:rsid w:val="00E27F95"/>
    <w:rsid w:val="00E3066E"/>
    <w:rsid w:val="00E3155A"/>
    <w:rsid w:val="00E322A4"/>
    <w:rsid w:val="00E340D0"/>
    <w:rsid w:val="00E36315"/>
    <w:rsid w:val="00E40A31"/>
    <w:rsid w:val="00E43D50"/>
    <w:rsid w:val="00E44004"/>
    <w:rsid w:val="00E44B5E"/>
    <w:rsid w:val="00E47D54"/>
    <w:rsid w:val="00E508A4"/>
    <w:rsid w:val="00E5285A"/>
    <w:rsid w:val="00E530DB"/>
    <w:rsid w:val="00E5312D"/>
    <w:rsid w:val="00E54155"/>
    <w:rsid w:val="00E56FE6"/>
    <w:rsid w:val="00E60D9B"/>
    <w:rsid w:val="00E67E98"/>
    <w:rsid w:val="00E73BFF"/>
    <w:rsid w:val="00E749B4"/>
    <w:rsid w:val="00E84D97"/>
    <w:rsid w:val="00E85940"/>
    <w:rsid w:val="00E87037"/>
    <w:rsid w:val="00E90319"/>
    <w:rsid w:val="00E91C95"/>
    <w:rsid w:val="00E92CBD"/>
    <w:rsid w:val="00E97DE2"/>
    <w:rsid w:val="00EA2A9B"/>
    <w:rsid w:val="00EB155E"/>
    <w:rsid w:val="00EB3A88"/>
    <w:rsid w:val="00EC3DA4"/>
    <w:rsid w:val="00EC729F"/>
    <w:rsid w:val="00ED1EFB"/>
    <w:rsid w:val="00ED273F"/>
    <w:rsid w:val="00ED4267"/>
    <w:rsid w:val="00EE181C"/>
    <w:rsid w:val="00EE28E9"/>
    <w:rsid w:val="00EE5D74"/>
    <w:rsid w:val="00EE609F"/>
    <w:rsid w:val="00EE7D45"/>
    <w:rsid w:val="00EF3871"/>
    <w:rsid w:val="00EF5E33"/>
    <w:rsid w:val="00EF5F09"/>
    <w:rsid w:val="00EF78D5"/>
    <w:rsid w:val="00F00E28"/>
    <w:rsid w:val="00F015A2"/>
    <w:rsid w:val="00F04ACB"/>
    <w:rsid w:val="00F05473"/>
    <w:rsid w:val="00F15BB9"/>
    <w:rsid w:val="00F1600B"/>
    <w:rsid w:val="00F16668"/>
    <w:rsid w:val="00F16E05"/>
    <w:rsid w:val="00F17D67"/>
    <w:rsid w:val="00F20095"/>
    <w:rsid w:val="00F26A44"/>
    <w:rsid w:val="00F331B4"/>
    <w:rsid w:val="00F347EE"/>
    <w:rsid w:val="00F36A36"/>
    <w:rsid w:val="00F37385"/>
    <w:rsid w:val="00F40005"/>
    <w:rsid w:val="00F420CB"/>
    <w:rsid w:val="00F4423E"/>
    <w:rsid w:val="00F444C8"/>
    <w:rsid w:val="00F52F78"/>
    <w:rsid w:val="00F5384E"/>
    <w:rsid w:val="00F559A8"/>
    <w:rsid w:val="00F5680E"/>
    <w:rsid w:val="00F56AC9"/>
    <w:rsid w:val="00F63403"/>
    <w:rsid w:val="00F65E06"/>
    <w:rsid w:val="00F71F3E"/>
    <w:rsid w:val="00F74551"/>
    <w:rsid w:val="00F77853"/>
    <w:rsid w:val="00F82F27"/>
    <w:rsid w:val="00F84859"/>
    <w:rsid w:val="00F86B16"/>
    <w:rsid w:val="00F87FDA"/>
    <w:rsid w:val="00F90D8C"/>
    <w:rsid w:val="00F92369"/>
    <w:rsid w:val="00F92524"/>
    <w:rsid w:val="00F9459C"/>
    <w:rsid w:val="00F978D3"/>
    <w:rsid w:val="00FA4347"/>
    <w:rsid w:val="00FA7D56"/>
    <w:rsid w:val="00FB050D"/>
    <w:rsid w:val="00FB1DE9"/>
    <w:rsid w:val="00FB22C0"/>
    <w:rsid w:val="00FB53CD"/>
    <w:rsid w:val="00FB7E5E"/>
    <w:rsid w:val="00FC0059"/>
    <w:rsid w:val="00FC1098"/>
    <w:rsid w:val="00FC2079"/>
    <w:rsid w:val="00FC2283"/>
    <w:rsid w:val="00FC2994"/>
    <w:rsid w:val="00FC32F7"/>
    <w:rsid w:val="00FC3956"/>
    <w:rsid w:val="00FC404F"/>
    <w:rsid w:val="00FC655B"/>
    <w:rsid w:val="00FC65D8"/>
    <w:rsid w:val="00FD5A07"/>
    <w:rsid w:val="00FE263C"/>
    <w:rsid w:val="00FE34B9"/>
    <w:rsid w:val="00FE5CD2"/>
    <w:rsid w:val="00FE7CE7"/>
    <w:rsid w:val="00FF1710"/>
    <w:rsid w:val="00FF2270"/>
    <w:rsid w:val="00FF373D"/>
    <w:rsid w:val="00FF4772"/>
    <w:rsid w:val="00FF4F0F"/>
    <w:rsid w:val="00FF53F8"/>
    <w:rsid w:val="03A42D9E"/>
    <w:rsid w:val="0513728D"/>
    <w:rsid w:val="07C35693"/>
    <w:rsid w:val="08634780"/>
    <w:rsid w:val="08A96637"/>
    <w:rsid w:val="098B3F8E"/>
    <w:rsid w:val="09A0746A"/>
    <w:rsid w:val="0E5D6419"/>
    <w:rsid w:val="19DE010A"/>
    <w:rsid w:val="1CBA4E5F"/>
    <w:rsid w:val="1E984D2C"/>
    <w:rsid w:val="1F045D28"/>
    <w:rsid w:val="1F9A2CCC"/>
    <w:rsid w:val="22286511"/>
    <w:rsid w:val="29BA46F0"/>
    <w:rsid w:val="2CD258AD"/>
    <w:rsid w:val="2DC92BD6"/>
    <w:rsid w:val="2FCC0CD9"/>
    <w:rsid w:val="32110C25"/>
    <w:rsid w:val="361E5BBC"/>
    <w:rsid w:val="3D532A3A"/>
    <w:rsid w:val="3EFE0783"/>
    <w:rsid w:val="418C2076"/>
    <w:rsid w:val="41EE2D31"/>
    <w:rsid w:val="445D5E47"/>
    <w:rsid w:val="45B7168C"/>
    <w:rsid w:val="47833F1C"/>
    <w:rsid w:val="4E834801"/>
    <w:rsid w:val="4F13528D"/>
    <w:rsid w:val="58F670FB"/>
    <w:rsid w:val="58F702C5"/>
    <w:rsid w:val="58F72073"/>
    <w:rsid w:val="5A933801"/>
    <w:rsid w:val="6C313FB6"/>
    <w:rsid w:val="740A6CA7"/>
    <w:rsid w:val="78F10436"/>
    <w:rsid w:val="7AF4245F"/>
    <w:rsid w:val="7D5E1E12"/>
    <w:rsid w:val="7D711B45"/>
    <w:rsid w:val="7E26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qFormat/>
    <w:uiPriority w:val="0"/>
    <w:pPr>
      <w:keepNext/>
      <w:keepLines/>
      <w:spacing w:before="260" w:after="260" w:line="415" w:lineRule="auto"/>
      <w:outlineLvl w:val="2"/>
    </w:pPr>
    <w:rPr>
      <w:b/>
      <w:bCs/>
      <w:kern w:val="0"/>
      <w:sz w:val="32"/>
      <w:szCs w:val="32"/>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9"/>
    <w:qFormat/>
    <w:uiPriority w:val="0"/>
    <w:pPr>
      <w:spacing w:after="120"/>
    </w:pPr>
  </w:style>
  <w:style w:type="paragraph" w:styleId="5">
    <w:name w:val="Normal Indent"/>
    <w:basedOn w:val="1"/>
    <w:qFormat/>
    <w:uiPriority w:val="0"/>
    <w:pPr>
      <w:ind w:firstLine="420"/>
    </w:pPr>
  </w:style>
  <w:style w:type="paragraph" w:styleId="6">
    <w:name w:val="annotation text"/>
    <w:basedOn w:val="1"/>
    <w:link w:val="78"/>
    <w:unhideWhenUsed/>
    <w:qFormat/>
    <w:uiPriority w:val="99"/>
    <w:pPr>
      <w:jc w:val="left"/>
    </w:pPr>
  </w:style>
  <w:style w:type="paragraph" w:styleId="7">
    <w:name w:val="Body Text Indent 2"/>
    <w:basedOn w:val="1"/>
    <w:link w:val="38"/>
    <w:qFormat/>
    <w:uiPriority w:val="0"/>
    <w:pPr>
      <w:tabs>
        <w:tab w:val="left" w:pos="360"/>
      </w:tabs>
      <w:spacing w:line="560" w:lineRule="atLeast"/>
      <w:ind w:left="-105" w:firstLine="465"/>
    </w:pPr>
    <w:rPr>
      <w:rFonts w:ascii="宋体"/>
      <w:sz w:val="28"/>
      <w:lang w:val="zh-CN" w:eastAsia="zh-CN"/>
    </w:rPr>
  </w:style>
  <w:style w:type="paragraph" w:styleId="8">
    <w:name w:val="Balloon Text"/>
    <w:basedOn w:val="1"/>
    <w:link w:val="33"/>
    <w:qFormat/>
    <w:uiPriority w:val="99"/>
    <w:rPr>
      <w:sz w:val="18"/>
      <w:szCs w:val="18"/>
      <w:lang w:val="zh-CN" w:eastAsia="zh-CN"/>
    </w:rPr>
  </w:style>
  <w:style w:type="paragraph" w:styleId="9">
    <w:name w:val="footer"/>
    <w:basedOn w:val="1"/>
    <w:link w:val="32"/>
    <w:qFormat/>
    <w:uiPriority w:val="99"/>
    <w:pPr>
      <w:tabs>
        <w:tab w:val="center" w:pos="4153"/>
        <w:tab w:val="right" w:pos="8306"/>
      </w:tabs>
      <w:snapToGrid w:val="0"/>
      <w:jc w:val="left"/>
    </w:pPr>
    <w:rPr>
      <w:kern w:val="0"/>
      <w:sz w:val="18"/>
      <w:szCs w:val="18"/>
      <w:lang w:val="zh-CN" w:eastAsia="zh-CN"/>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toc 1"/>
    <w:basedOn w:val="1"/>
    <w:next w:val="1"/>
    <w:qFormat/>
    <w:uiPriority w:val="0"/>
    <w:pPr>
      <w:tabs>
        <w:tab w:val="right" w:leader="middleDot" w:pos="8302"/>
      </w:tabs>
      <w:spacing w:line="360" w:lineRule="auto"/>
    </w:pPr>
  </w:style>
  <w:style w:type="paragraph" w:styleId="12">
    <w:name w:val="Subtitle"/>
    <w:basedOn w:val="1"/>
    <w:next w:val="1"/>
    <w:link w:val="37"/>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3">
    <w:name w:val="Body Text Indent 3"/>
    <w:basedOn w:val="1"/>
    <w:link w:val="39"/>
    <w:qFormat/>
    <w:uiPriority w:val="0"/>
    <w:pPr>
      <w:tabs>
        <w:tab w:val="left" w:pos="360"/>
      </w:tabs>
      <w:spacing w:line="560" w:lineRule="exact"/>
      <w:ind w:firstLine="360"/>
    </w:pPr>
    <w:rPr>
      <w:rFonts w:ascii="宋体"/>
      <w:sz w:val="24"/>
      <w:lang w:val="zh-CN" w:eastAsia="zh-CN"/>
    </w:rPr>
  </w:style>
  <w:style w:type="paragraph" w:styleId="14">
    <w:name w:val="Body Text 2"/>
    <w:basedOn w:val="1"/>
    <w:link w:val="77"/>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6"/>
    <w:next w:val="6"/>
    <w:link w:val="81"/>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qFormat/>
    <w:uiPriority w:val="0"/>
  </w:style>
  <w:style w:type="character" w:styleId="22">
    <w:name w:val="FollowedHyperlink"/>
    <w:basedOn w:val="19"/>
    <w:semiHidden/>
    <w:unhideWhenUsed/>
    <w:qFormat/>
    <w:uiPriority w:val="99"/>
    <w:rPr>
      <w:color w:val="333333"/>
      <w:u w:val="none"/>
    </w:rPr>
  </w:style>
  <w:style w:type="character" w:styleId="23">
    <w:name w:val="Emphasis"/>
    <w:qFormat/>
    <w:uiPriority w:val="20"/>
    <w:rPr>
      <w:i/>
      <w:iCs/>
    </w:rPr>
  </w:style>
  <w:style w:type="character" w:styleId="24">
    <w:name w:val="HTML Definition"/>
    <w:basedOn w:val="19"/>
    <w:semiHidden/>
    <w:unhideWhenUsed/>
    <w:qFormat/>
    <w:uiPriority w:val="99"/>
  </w:style>
  <w:style w:type="character" w:styleId="25">
    <w:name w:val="HTML Variable"/>
    <w:basedOn w:val="19"/>
    <w:semiHidden/>
    <w:unhideWhenUsed/>
    <w:qFormat/>
    <w:uiPriority w:val="99"/>
  </w:style>
  <w:style w:type="character" w:styleId="26">
    <w:name w:val="Hyperlink"/>
    <w:qFormat/>
    <w:uiPriority w:val="0"/>
    <w:rPr>
      <w:rFonts w:hint="default" w:ascii="ˎ̥" w:hAnsi="ˎ̥"/>
      <w:color w:val="3E3E3E"/>
      <w:sz w:val="24"/>
      <w:szCs w:val="24"/>
      <w:u w:val="none"/>
    </w:rPr>
  </w:style>
  <w:style w:type="character" w:styleId="27">
    <w:name w:val="HTML Code"/>
    <w:basedOn w:val="19"/>
    <w:semiHidden/>
    <w:unhideWhenUsed/>
    <w:qFormat/>
    <w:uiPriority w:val="99"/>
    <w:rPr>
      <w:rFonts w:ascii="Courier New" w:hAnsi="Courier New"/>
      <w:sz w:val="20"/>
    </w:rPr>
  </w:style>
  <w:style w:type="character" w:styleId="28">
    <w:name w:val="annotation reference"/>
    <w:unhideWhenUsed/>
    <w:qFormat/>
    <w:uiPriority w:val="99"/>
    <w:rPr>
      <w:sz w:val="21"/>
      <w:szCs w:val="21"/>
    </w:rPr>
  </w:style>
  <w:style w:type="character" w:styleId="29">
    <w:name w:val="HTML Cite"/>
    <w:basedOn w:val="19"/>
    <w:semiHidden/>
    <w:unhideWhenUsed/>
    <w:qFormat/>
    <w:uiPriority w:val="99"/>
  </w:style>
  <w:style w:type="character" w:customStyle="1" w:styleId="30">
    <w:name w:val="标题 3 Char"/>
    <w:link w:val="4"/>
    <w:qFormat/>
    <w:uiPriority w:val="0"/>
    <w:rPr>
      <w:rFonts w:ascii="Times New Roman" w:hAnsi="Times New Roman" w:eastAsia="宋体" w:cs="Times New Roman"/>
      <w:b/>
      <w:bCs/>
      <w:sz w:val="32"/>
      <w:szCs w:val="32"/>
    </w:rPr>
  </w:style>
  <w:style w:type="character" w:customStyle="1" w:styleId="31">
    <w:name w:val="页眉 Char"/>
    <w:link w:val="10"/>
    <w:qFormat/>
    <w:uiPriority w:val="99"/>
    <w:rPr>
      <w:rFonts w:ascii="Times New Roman" w:hAnsi="Times New Roman" w:eastAsia="宋体" w:cs="Times New Roman"/>
      <w:sz w:val="18"/>
      <w:szCs w:val="18"/>
    </w:rPr>
  </w:style>
  <w:style w:type="character" w:customStyle="1" w:styleId="32">
    <w:name w:val="页脚 Char"/>
    <w:link w:val="9"/>
    <w:qFormat/>
    <w:uiPriority w:val="99"/>
    <w:rPr>
      <w:rFonts w:ascii="Times New Roman" w:hAnsi="Times New Roman" w:eastAsia="宋体" w:cs="Times New Roman"/>
      <w:sz w:val="18"/>
      <w:szCs w:val="18"/>
    </w:rPr>
  </w:style>
  <w:style w:type="character" w:customStyle="1" w:styleId="33">
    <w:name w:val="批注框文本 Char"/>
    <w:link w:val="8"/>
    <w:qFormat/>
    <w:uiPriority w:val="99"/>
    <w:rPr>
      <w:rFonts w:ascii="Times New Roman" w:hAnsi="Times New Roman"/>
      <w:kern w:val="2"/>
      <w:sz w:val="18"/>
      <w:szCs w:val="18"/>
    </w:rPr>
  </w:style>
  <w:style w:type="paragraph" w:customStyle="1" w:styleId="34">
    <w:name w:val="Char"/>
    <w:basedOn w:val="1"/>
    <w:qFormat/>
    <w:uiPriority w:val="0"/>
  </w:style>
  <w:style w:type="paragraph" w:customStyle="1" w:styleId="35">
    <w:name w:val="Default"/>
    <w:link w:val="80"/>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列出段落1"/>
    <w:basedOn w:val="1"/>
    <w:qFormat/>
    <w:uiPriority w:val="0"/>
    <w:pPr>
      <w:ind w:firstLine="420" w:firstLineChars="200"/>
    </w:pPr>
    <w:rPr>
      <w:rFonts w:ascii="Calibri" w:hAnsi="Calibri" w:cs="黑体"/>
      <w:szCs w:val="22"/>
    </w:rPr>
  </w:style>
  <w:style w:type="character" w:customStyle="1" w:styleId="37">
    <w:name w:val="副标题 Char"/>
    <w:link w:val="12"/>
    <w:qFormat/>
    <w:uiPriority w:val="11"/>
    <w:rPr>
      <w:rFonts w:ascii="Cambria" w:hAnsi="Cambria" w:cs="Times New Roman"/>
      <w:b/>
      <w:bCs/>
      <w:kern w:val="28"/>
      <w:sz w:val="32"/>
      <w:szCs w:val="32"/>
    </w:rPr>
  </w:style>
  <w:style w:type="character" w:customStyle="1" w:styleId="38">
    <w:name w:val="正文文本缩进 2 Char"/>
    <w:link w:val="7"/>
    <w:qFormat/>
    <w:uiPriority w:val="0"/>
    <w:rPr>
      <w:rFonts w:ascii="宋体" w:hAnsi="Times New Roman"/>
      <w:kern w:val="2"/>
      <w:sz w:val="28"/>
    </w:rPr>
  </w:style>
  <w:style w:type="character" w:customStyle="1" w:styleId="39">
    <w:name w:val="正文文本缩进 3 Char"/>
    <w:link w:val="13"/>
    <w:qFormat/>
    <w:uiPriority w:val="0"/>
    <w:rPr>
      <w:rFonts w:ascii="宋体" w:hAnsi="Times New Roman"/>
      <w:kern w:val="2"/>
      <w:sz w:val="24"/>
    </w:rPr>
  </w:style>
  <w:style w:type="paragraph" w:customStyle="1" w:styleId="40">
    <w:name w:val="Char1"/>
    <w:basedOn w:val="1"/>
    <w:autoRedefine/>
    <w:qFormat/>
    <w:uiPriority w:val="0"/>
    <w:pPr>
      <w:tabs>
        <w:tab w:val="left" w:pos="360"/>
      </w:tabs>
    </w:pPr>
    <w:rPr>
      <w:sz w:val="24"/>
      <w:szCs w:val="24"/>
    </w:rPr>
  </w:style>
  <w:style w:type="character" w:customStyle="1" w:styleId="41">
    <w:name w:val="control-label6"/>
    <w:qFormat/>
    <w:uiPriority w:val="0"/>
    <w:rPr>
      <w:rFonts w:hint="eastAsia" w:ascii="微软雅黑" w:hAnsi="微软雅黑" w:eastAsia="微软雅黑"/>
    </w:rPr>
  </w:style>
  <w:style w:type="character" w:customStyle="1" w:styleId="42">
    <w:name w:val="apple-converted-space"/>
    <w:qFormat/>
    <w:uiPriority w:val="0"/>
  </w:style>
  <w:style w:type="paragraph" w:styleId="43">
    <w:name w:val="List Paragraph"/>
    <w:basedOn w:val="1"/>
    <w:link w:val="44"/>
    <w:qFormat/>
    <w:uiPriority w:val="34"/>
    <w:pPr>
      <w:ind w:firstLine="420" w:firstLineChars="200"/>
    </w:pPr>
    <w:rPr>
      <w:szCs w:val="24"/>
      <w:lang w:val="zh-CN" w:eastAsia="zh-CN"/>
    </w:rPr>
  </w:style>
  <w:style w:type="character" w:customStyle="1" w:styleId="44">
    <w:name w:val="列出段落 Char"/>
    <w:link w:val="43"/>
    <w:qFormat/>
    <w:uiPriority w:val="34"/>
    <w:rPr>
      <w:rFonts w:ascii="Times New Roman" w:hAnsi="Times New Roman"/>
      <w:kern w:val="2"/>
      <w:sz w:val="21"/>
      <w:szCs w:val="24"/>
    </w:rPr>
  </w:style>
  <w:style w:type="paragraph" w:customStyle="1" w:styleId="4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7">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8">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9">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0">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51">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52">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7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2">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3">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74">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正文文本 2 Char"/>
    <w:basedOn w:val="19"/>
    <w:link w:val="14"/>
    <w:semiHidden/>
    <w:qFormat/>
    <w:uiPriority w:val="99"/>
    <w:rPr>
      <w:rFonts w:ascii="Times New Roman" w:hAnsi="Times New Roman"/>
      <w:kern w:val="2"/>
      <w:sz w:val="21"/>
    </w:rPr>
  </w:style>
  <w:style w:type="character" w:customStyle="1" w:styleId="78">
    <w:name w:val="批注文字 Char"/>
    <w:basedOn w:val="19"/>
    <w:link w:val="6"/>
    <w:qFormat/>
    <w:uiPriority w:val="99"/>
    <w:rPr>
      <w:rFonts w:ascii="Times New Roman" w:hAnsi="Times New Roman"/>
      <w:kern w:val="2"/>
      <w:sz w:val="21"/>
    </w:rPr>
  </w:style>
  <w:style w:type="character" w:customStyle="1" w:styleId="79">
    <w:name w:val="正文文本 Char"/>
    <w:basedOn w:val="19"/>
    <w:link w:val="2"/>
    <w:qFormat/>
    <w:uiPriority w:val="0"/>
    <w:rPr>
      <w:rFonts w:ascii="Times New Roman" w:hAnsi="Times New Roman"/>
      <w:kern w:val="2"/>
      <w:sz w:val="21"/>
    </w:rPr>
  </w:style>
  <w:style w:type="character" w:customStyle="1" w:styleId="80">
    <w:name w:val="Default Char"/>
    <w:link w:val="35"/>
    <w:qFormat/>
    <w:locked/>
    <w:uiPriority w:val="0"/>
    <w:rPr>
      <w:rFonts w:ascii="......." w:hAnsi="......." w:eastAsia="......." w:cs="......."/>
      <w:color w:val="000000"/>
      <w:sz w:val="24"/>
      <w:szCs w:val="24"/>
    </w:rPr>
  </w:style>
  <w:style w:type="character" w:customStyle="1" w:styleId="81">
    <w:name w:val="批注主题 Char"/>
    <w:basedOn w:val="78"/>
    <w:link w:val="16"/>
    <w:semiHidden/>
    <w:qFormat/>
    <w:uiPriority w:val="99"/>
    <w:rPr>
      <w:rFonts w:ascii="Times New Roman" w:hAnsi="Times New Roman"/>
      <w:b/>
      <w:bCs/>
      <w:kern w:val="2"/>
      <w:sz w:val="21"/>
    </w:rPr>
  </w:style>
  <w:style w:type="character" w:customStyle="1" w:styleId="82">
    <w:name w:val="NormalCharacter"/>
    <w:qFormat/>
    <w:uiPriority w:val="0"/>
  </w:style>
  <w:style w:type="character" w:customStyle="1" w:styleId="83">
    <w:name w:val="hover"/>
    <w:basedOn w:val="19"/>
    <w:qFormat/>
    <w:uiPriority w:val="0"/>
    <w:rPr>
      <w:color w:val="015293"/>
    </w:rPr>
  </w:style>
  <w:style w:type="character" w:customStyle="1" w:styleId="84">
    <w:name w:val="tabg"/>
    <w:basedOn w:val="19"/>
    <w:qFormat/>
    <w:uiPriority w:val="0"/>
    <w:rPr>
      <w:color w:val="FFFFFF"/>
      <w:sz w:val="27"/>
      <w:szCs w:val="27"/>
    </w:rPr>
  </w:style>
  <w:style w:type="character" w:customStyle="1" w:styleId="85">
    <w:name w:val="bg01"/>
    <w:basedOn w:val="19"/>
    <w:qFormat/>
    <w:uiPriority w:val="0"/>
  </w:style>
  <w:style w:type="character" w:customStyle="1" w:styleId="86">
    <w:name w:val="active&gt;i"/>
    <w:basedOn w:val="19"/>
    <w:qFormat/>
    <w:uiPriority w:val="0"/>
  </w:style>
  <w:style w:type="character" w:customStyle="1" w:styleId="87">
    <w:name w:val="on3"/>
    <w:basedOn w:val="19"/>
    <w:qFormat/>
    <w:uiPriority w:val="0"/>
    <w:rPr>
      <w:color w:val="FFFFFF"/>
      <w:shd w:val="clear" w:fill="0B67A6"/>
    </w:rPr>
  </w:style>
  <w:style w:type="character" w:customStyle="1" w:styleId="88">
    <w:name w:val="on4"/>
    <w:basedOn w:val="19"/>
    <w:qFormat/>
    <w:uiPriority w:val="0"/>
    <w:rPr>
      <w:b/>
      <w:bCs/>
      <w:color w:val="015293"/>
    </w:rPr>
  </w:style>
  <w:style w:type="character" w:customStyle="1" w:styleId="89">
    <w:name w:val="bg02"/>
    <w:basedOn w:val="19"/>
    <w:qFormat/>
    <w:uiPriority w:val="0"/>
  </w:style>
  <w:style w:type="character" w:customStyle="1" w:styleId="90">
    <w:name w:val="on2"/>
    <w:basedOn w:val="19"/>
    <w:qFormat/>
    <w:uiPriority w:val="0"/>
    <w:rPr>
      <w:color w:val="FFFFFF"/>
      <w:shd w:val="clear" w:fill="0B67A6"/>
    </w:rPr>
  </w:style>
  <w:style w:type="character" w:customStyle="1" w:styleId="91">
    <w:name w:val="hover2"/>
    <w:basedOn w:val="19"/>
    <w:qFormat/>
    <w:uiPriority w:val="0"/>
    <w:rPr>
      <w:color w:val="015293"/>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12E88-DE1E-488C-A499-8FA41D3DF98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27559</Words>
  <Characters>29235</Characters>
  <Lines>229</Lines>
  <Paragraphs>64</Paragraphs>
  <TotalTime>8</TotalTime>
  <ScaleCrop>false</ScaleCrop>
  <LinksUpToDate>false</LinksUpToDate>
  <CharactersWithSpaces>30980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2024-06-12T06:43:00Z</dcterms:created>
  <dc:creator>未定义</dc:creator>
  <cp:lastModifiedBy>WPS_1636026673</cp:lastModifiedBy>
  <cp:lastPrinted>2015-08-04T03:01:00Z</cp:lastPrinted>
  <dcterms:modified xsi:type="dcterms:W3CDTF">2024-07-05T06:15:43Z</dcterms:modified>
  <dc:title>2015年天津市政府债券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921A8A1AF79D477B9E205C99FB45A1C0_12</vt:lpwstr>
  </property>
</Properties>
</file>